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rFonts w:ascii="Times New Roman" w:hAnsi="Times New Roman"/>
          <w:b w:val="1"/>
          <w:sz w:val="26"/>
        </w:rPr>
      </w:pPr>
      <w:r>
        <w:rPr>
          <w:rFonts w:ascii="Times New Roman" w:hAnsi="Times New Roman"/>
          <w:b w:val="1"/>
          <w:sz w:val="26"/>
        </w:rPr>
        <w:t>ПРОЕКТ</w:t>
      </w:r>
    </w:p>
    <w:p w14:paraId="04000000">
      <w:pPr>
        <w:widowControl w:val="0"/>
        <w:ind/>
        <w:jc w:val="center"/>
        <w:rPr>
          <w:rFonts w:ascii="Times New Roman" w:hAnsi="Times New Roman"/>
          <w:b w:val="1"/>
          <w:sz w:val="26"/>
        </w:rPr>
      </w:pPr>
      <w:r>
        <w:rPr>
          <w:rFonts w:ascii="Times New Roman" w:hAnsi="Times New Roman"/>
          <w:b w:val="1"/>
          <w:sz w:val="26"/>
        </w:rPr>
        <w:t>Договор купли-продажи</w:t>
      </w:r>
    </w:p>
    <w:p w14:paraId="05000000">
      <w:pPr>
        <w:widowControl w:val="0"/>
        <w:ind/>
        <w:jc w:val="center"/>
        <w:rPr>
          <w:rFonts w:ascii="Times New Roman" w:hAnsi="Times New Roman"/>
          <w:b w:val="1"/>
          <w:sz w:val="26"/>
        </w:rPr>
      </w:pPr>
      <w:r>
        <w:rPr>
          <w:rFonts w:ascii="Times New Roman" w:hAnsi="Times New Roman"/>
          <w:b w:val="1"/>
          <w:sz w:val="26"/>
        </w:rPr>
        <w:t>132/11478</w:t>
      </w:r>
      <w:r>
        <w:rPr>
          <w:rFonts w:ascii="Times New Roman" w:hAnsi="Times New Roman"/>
          <w:b w:val="1"/>
          <w:sz w:val="26"/>
        </w:rPr>
        <w:t xml:space="preserve"> доли в праве общей долевой собственности на </w:t>
      </w: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ный</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сток</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11 478</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22:63:020311:3, РНФИ </w:t>
      </w:r>
      <w:r>
        <w:rPr>
          <w:rFonts w:ascii="Times New Roman" w:hAnsi="Times New Roman"/>
          <w:b w:val="1"/>
          <w:sz w:val="26"/>
        </w:rPr>
        <w:t>П26220000020</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 xml:space="preserve">край </w:t>
      </w:r>
      <w:r>
        <w:rPr>
          <w:rFonts w:ascii="Times New Roman" w:hAnsi="Times New Roman"/>
          <w:b w:val="1"/>
          <w:sz w:val="26"/>
        </w:rPr>
        <w:t>Алтайский, г. Барнаул, ул. Германа Титова, д. 6</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н</w:t>
      </w:r>
      <w:r>
        <w:rPr>
          <w:rFonts w:ascii="Times New Roman" w:hAnsi="Times New Roman"/>
          <w:b w:val="1"/>
          <w:sz w:val="26"/>
        </w:rPr>
        <w:t>ежилым помещением на первом этаже здания рынка</w:t>
      </w:r>
      <w:r>
        <w:rPr>
          <w:rFonts w:ascii="Times New Roman" w:hAnsi="Times New Roman"/>
          <w:b w:val="1"/>
          <w:sz w:val="26"/>
        </w:rPr>
        <w:t xml:space="preserve"> </w:t>
      </w:r>
      <w:r>
        <w:rPr>
          <w:rFonts w:ascii="Times New Roman" w:hAnsi="Times New Roman"/>
          <w:b w:val="1"/>
          <w:sz w:val="26"/>
        </w:rPr>
        <w:t xml:space="preserve"> пом. Н-3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64,9</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22:63:020311:139, РНФИ </w:t>
      </w:r>
      <w:r>
        <w:rPr>
          <w:rFonts w:ascii="Times New Roman" w:hAnsi="Times New Roman"/>
          <w:b w:val="1"/>
          <w:sz w:val="26"/>
        </w:rPr>
        <w:t>П13220006010</w:t>
      </w:r>
      <w:r>
        <w:rPr>
          <w:rFonts w:ascii="Times New Roman" w:hAnsi="Times New Roman"/>
          <w:b w:val="1"/>
          <w:sz w:val="26"/>
        </w:rPr>
        <w:t xml:space="preserve"> </w:t>
      </w:r>
      <w:r>
        <w:rPr>
          <w:rFonts w:ascii="Times New Roman" w:hAnsi="Times New Roman"/>
          <w:b w:val="1"/>
          <w:sz w:val="26"/>
        </w:rPr>
        <w:t>н</w:t>
      </w:r>
      <w:r>
        <w:rPr>
          <w:rFonts w:ascii="Times New Roman" w:hAnsi="Times New Roman"/>
          <w:b w:val="1"/>
          <w:sz w:val="26"/>
        </w:rPr>
        <w:t>а</w:t>
      </w:r>
      <w:r>
        <w:rPr>
          <w:rFonts w:ascii="Times New Roman" w:hAnsi="Times New Roman"/>
          <w:b w:val="1"/>
          <w:sz w:val="26"/>
        </w:rPr>
        <w:t xml:space="preserve"> а</w:t>
      </w:r>
      <w:r>
        <w:rPr>
          <w:rFonts w:ascii="Times New Roman" w:hAnsi="Times New Roman"/>
          <w:b w:val="1"/>
          <w:sz w:val="26"/>
        </w:rPr>
        <w:t>у</w:t>
      </w:r>
      <w:r>
        <w:rPr>
          <w:rFonts w:ascii="Times New Roman" w:hAnsi="Times New Roman"/>
          <w:b w:val="1"/>
          <w:sz w:val="26"/>
        </w:rPr>
        <w:t>кци</w:t>
      </w:r>
      <w:r>
        <w:rPr>
          <w:rFonts w:ascii="Times New Roman" w:hAnsi="Times New Roman"/>
          <w:b w:val="1"/>
          <w:sz w:val="26"/>
        </w:rPr>
        <w:t>он</w:t>
      </w:r>
      <w:r>
        <w:rPr>
          <w:rFonts w:ascii="Times New Roman" w:hAnsi="Times New Roman"/>
          <w:b w:val="1"/>
          <w:sz w:val="26"/>
        </w:rPr>
        <w:t>е</w:t>
      </w:r>
    </w:p>
    <w:p w14:paraId="06000000">
      <w:pPr>
        <w:widowControl w:val="0"/>
        <w:ind/>
        <w:jc w:val="center"/>
        <w:rPr>
          <w:rFonts w:ascii="Times New Roman" w:hAnsi="Times New Roman"/>
          <w:b w:val="1"/>
          <w:sz w:val="26"/>
        </w:rPr>
      </w:pPr>
    </w:p>
    <w:p w14:paraId="07000000">
      <w:pPr>
        <w:widowControl w:val="0"/>
        <w:ind/>
        <w:jc w:val="both"/>
        <w:rPr>
          <w:rFonts w:ascii="Times New Roman" w:hAnsi="Times New Roman"/>
          <w:sz w:val="26"/>
        </w:rPr>
      </w:pPr>
    </w:p>
    <w:p w14:paraId="08000000">
      <w:pPr>
        <w:widowControl w:val="0"/>
        <w:ind w:firstLine="720" w:left="0"/>
        <w:jc w:val="both"/>
        <w:rPr>
          <w:rFonts w:ascii="Times New Roman" w:hAnsi="Times New Roman"/>
          <w:b w:val="0"/>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Федеральным законом «О приватизации государственного и муниципаль</w:t>
      </w:r>
      <w:r>
        <w:rPr>
          <w:rFonts w:ascii="Times New Roman" w:hAnsi="Times New Roman"/>
          <w:sz w:val="26"/>
        </w:rPr>
        <w:t xml:space="preserve">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w:t>
      </w:r>
      <w:r>
        <w:rPr>
          <w:rFonts w:ascii="Times New Roman" w:hAnsi="Times New Roman"/>
          <w:sz w:val="26"/>
        </w:rPr>
        <w:t>го имущества»</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w:t>
      </w:r>
      <w:r>
        <w:rPr>
          <w:rFonts w:ascii="Times New Roman" w:hAnsi="Times New Roman"/>
          <w:sz w:val="26"/>
        </w:rPr>
        <w:t xml:space="preserve">ва </w:t>
      </w:r>
      <w:r>
        <w:rPr>
          <w:rFonts w:ascii="Times New Roman" w:hAnsi="Times New Roman"/>
          <w:sz w:val="26"/>
        </w:rPr>
        <w:t>от</w:t>
      </w:r>
      <w:r>
        <w:rPr>
          <w:rFonts w:ascii="Times New Roman" w:hAnsi="Times New Roman"/>
          <w:sz w:val="26"/>
        </w:rPr>
        <w:t xml:space="preserve"> 05.06.2026</w:t>
      </w:r>
      <w:r>
        <w:rPr>
          <w:rFonts w:ascii="Times New Roman" w:hAnsi="Times New Roman"/>
          <w:sz w:val="26"/>
        </w:rPr>
        <w:t xml:space="preserve"> № 1399-р </w:t>
      </w:r>
      <w:r>
        <w:rPr>
          <w:rFonts w:ascii="Times New Roman" w:hAnsi="Times New Roman"/>
          <w:sz w:val="26"/>
        </w:rPr>
        <w:t>«О внесении изменений в приложение к распоряжению Росимущества от 02.09.2025</w:t>
      </w:r>
      <w:r>
        <w:rPr>
          <w:rFonts w:ascii="Times New Roman" w:hAnsi="Times New Roman"/>
          <w:spacing w:val="-2"/>
          <w:sz w:val="26"/>
        </w:rPr>
        <w:t xml:space="preserve"> </w:t>
      </w:r>
      <w:r>
        <w:rPr>
          <w:rFonts w:ascii="Times New Roman" w:hAnsi="Times New Roman"/>
          <w:spacing w:val="-2"/>
          <w:sz w:val="26"/>
        </w:rPr>
        <w:t>№ 1767-р</w:t>
      </w:r>
      <w:r>
        <w:rPr>
          <w:rFonts w:ascii="Times New Roman" w:hAnsi="Times New Roman"/>
          <w:spacing w:val="-2"/>
          <w:sz w:val="26"/>
        </w:rPr>
        <w:t xml:space="preserve"> «</w:t>
      </w:r>
      <w:r>
        <w:rPr>
          <w:rFonts w:ascii="Times New Roman" w:hAnsi="Times New Roman"/>
          <w:spacing w:val="-2"/>
          <w:sz w:val="26"/>
        </w:rPr>
        <w:t>Об утверждении</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ня</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2026</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2028</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тайском крае и Ре</w:t>
      </w:r>
      <w:r>
        <w:rPr>
          <w:rFonts w:ascii="Times New Roman" w:hAnsi="Times New Roman"/>
          <w:b w:val="0"/>
          <w:sz w:val="26"/>
        </w:rPr>
        <w:t xml:space="preserve">спублике Алтай </w:t>
      </w:r>
      <w:r>
        <w:rPr>
          <w:rFonts w:ascii="Times New Roman" w:hAnsi="Times New Roman"/>
          <w:b w:val="0"/>
          <w:sz w:val="26"/>
        </w:rPr>
        <w:t>от</w:t>
      </w:r>
      <w:r>
        <w:rPr>
          <w:rFonts w:ascii="Times New Roman" w:hAnsi="Times New Roman"/>
          <w:b w:val="0"/>
          <w:sz w:val="26"/>
        </w:rPr>
        <w:t xml:space="preserve"> 19.06</w:t>
      </w:r>
      <w:r>
        <w:rPr>
          <w:rFonts w:ascii="Times New Roman" w:hAnsi="Times New Roman"/>
          <w:b w:val="0"/>
          <w:sz w:val="26"/>
        </w:rPr>
        <w:t>.2026</w:t>
      </w:r>
      <w:r>
        <w:rPr>
          <w:rFonts w:ascii="Times New Roman" w:hAnsi="Times New Roman"/>
          <w:b w:val="0"/>
          <w:sz w:val="26"/>
        </w:rPr>
        <w:t xml:space="preserve"> </w:t>
      </w:r>
      <w:r>
        <w:rPr>
          <w:rFonts w:ascii="Times New Roman" w:hAnsi="Times New Roman"/>
          <w:b w:val="0"/>
          <w:sz w:val="26"/>
        </w:rPr>
        <w:t xml:space="preserve">№ </w:t>
      </w:r>
      <w:r>
        <w:rPr>
          <w:rFonts w:ascii="Times New Roman" w:hAnsi="Times New Roman"/>
          <w:b w:val="0"/>
          <w:sz w:val="26"/>
        </w:rPr>
        <w:t>313</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положениями информационного сообщения о прода</w:t>
      </w:r>
      <w:r>
        <w:rPr>
          <w:rFonts w:ascii="Times New Roman" w:hAnsi="Times New Roman"/>
          <w:b w:val="0"/>
          <w:sz w:val="26"/>
        </w:rPr>
        <w:t>же</w:t>
      </w:r>
      <w:r>
        <w:rPr>
          <w:rFonts w:ascii="Times New Roman" w:hAnsi="Times New Roman"/>
          <w:b w:val="0"/>
          <w:sz w:val="26"/>
        </w:rPr>
        <w:t xml:space="preserve"> </w:t>
      </w:r>
      <w:r>
        <w:rPr>
          <w:rFonts w:ascii="Times New Roman" w:hAnsi="Times New Roman"/>
          <w:b w:val="0"/>
          <w:sz w:val="26"/>
        </w:rPr>
        <w:t>132/11478</w:t>
      </w:r>
      <w:r>
        <w:rPr>
          <w:rFonts w:ascii="Times New Roman" w:hAnsi="Times New Roman"/>
          <w:b w:val="0"/>
          <w:sz w:val="26"/>
        </w:rPr>
        <w:t xml:space="preserve">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22:63:020311:3, РНФИ </w:t>
      </w:r>
      <w:r>
        <w:rPr>
          <w:rFonts w:ascii="Times New Roman" w:hAnsi="Times New Roman"/>
          <w:b w:val="0"/>
          <w:sz w:val="26"/>
        </w:rPr>
        <w:t>П26220000020</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 xml:space="preserve">край </w:t>
      </w:r>
      <w:r>
        <w:rPr>
          <w:rFonts w:ascii="Times New Roman" w:hAnsi="Times New Roman"/>
          <w:b w:val="0"/>
          <w:sz w:val="26"/>
        </w:rPr>
        <w:t>Алтайский,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w:t>
      </w:r>
      <w:r>
        <w:rPr>
          <w:rFonts w:ascii="Times New Roman" w:hAnsi="Times New Roman"/>
          <w:b w:val="0"/>
          <w:sz w:val="26"/>
        </w:rPr>
        <w:t>ежилым помещением на первом этаже здания рынка</w:t>
      </w:r>
      <w:r>
        <w:rPr>
          <w:rFonts w:ascii="Times New Roman" w:hAnsi="Times New Roman"/>
          <w:b w:val="0"/>
          <w:sz w:val="26"/>
        </w:rPr>
        <w:t xml:space="preserve"> </w:t>
      </w:r>
      <w:r>
        <w:rPr>
          <w:rFonts w:ascii="Times New Roman" w:hAnsi="Times New Roman"/>
          <w:b w:val="0"/>
          <w:sz w:val="26"/>
        </w:rPr>
        <w:t xml:space="preserve"> пом. Н-3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22:63:020311:139, РНФИ </w:t>
      </w:r>
      <w:r>
        <w:rPr>
          <w:rFonts w:ascii="Times New Roman" w:hAnsi="Times New Roman"/>
          <w:b w:val="0"/>
          <w:sz w:val="26"/>
        </w:rPr>
        <w:t xml:space="preserve"> </w:t>
      </w:r>
      <w:r>
        <w:rPr>
          <w:rFonts w:ascii="Times New Roman" w:hAnsi="Times New Roman"/>
          <w:b w:val="0"/>
          <w:i w:val="1"/>
          <w:sz w:val="26"/>
        </w:rPr>
        <w:t xml:space="preserve"> </w:t>
      </w:r>
      <w:r>
        <w:rPr>
          <w:rFonts w:ascii="Times New Roman" w:hAnsi="Times New Roman"/>
          <w:b w:val="0"/>
          <w:sz w:val="26"/>
        </w:rPr>
        <w:t>П13220006010</w:t>
      </w:r>
      <w:r>
        <w:rPr>
          <w:rFonts w:ascii="Times New Roman" w:hAnsi="Times New Roman"/>
          <w:b w:val="0"/>
          <w:sz w:val="26"/>
        </w:rPr>
        <w:t>, р</w:t>
      </w:r>
      <w:r>
        <w:rPr>
          <w:rFonts w:ascii="Times New Roman" w:hAnsi="Times New Roman"/>
          <w:b w:val="0"/>
          <w:sz w:val="26"/>
        </w:rPr>
        <w:t>аз</w:t>
      </w:r>
      <w:r>
        <w:rPr>
          <w:rFonts w:ascii="Times New Roman" w:hAnsi="Times New Roman"/>
          <w:b w:val="0"/>
          <w:sz w:val="26"/>
        </w:rPr>
        <w:t>м</w:t>
      </w:r>
      <w:r>
        <w:rPr>
          <w:rFonts w:ascii="Times New Roman" w:hAnsi="Times New Roman"/>
          <w:b w:val="0"/>
          <w:sz w:val="26"/>
        </w:rPr>
        <w:t>е</w:t>
      </w:r>
      <w:r>
        <w:rPr>
          <w:rFonts w:ascii="Times New Roman" w:hAnsi="Times New Roman"/>
          <w:b w:val="0"/>
          <w:sz w:val="26"/>
        </w:rPr>
        <w:t>щен</w:t>
      </w:r>
      <w:r>
        <w:rPr>
          <w:rFonts w:ascii="Times New Roman" w:hAnsi="Times New Roman"/>
          <w:b w:val="0"/>
          <w:sz w:val="26"/>
        </w:rPr>
        <w:t>ного</w:t>
      </w:r>
      <w:r>
        <w:rPr>
          <w:rFonts w:ascii="Times New Roman" w:hAnsi="Times New Roman"/>
          <w:b w:val="0"/>
          <w:sz w:val="26"/>
        </w:rPr>
        <w:t xml:space="preserve">  на сайте </w:t>
      </w:r>
      <w:r>
        <w:rPr>
          <w:rFonts w:ascii="Times New Roman" w:hAnsi="Times New Roman"/>
          <w:b w:val="0"/>
          <w:sz w:val="26"/>
        </w:rPr>
        <w:t>Оператора электронной площ</w:t>
      </w:r>
      <w:r>
        <w:rPr>
          <w:rFonts w:ascii="Times New Roman" w:hAnsi="Times New Roman"/>
          <w:b w:val="0"/>
          <w:sz w:val="26"/>
        </w:rPr>
        <w:t>адки</w:t>
      </w:r>
      <w:r>
        <w:rPr>
          <w:rFonts w:ascii="Times New Roman" w:hAnsi="Times New Roman"/>
          <w:b w:val="0"/>
          <w:sz w:val="26"/>
        </w:rPr>
        <w:t xml:space="preserve"> торгов </w:t>
      </w:r>
      <w:r>
        <w:rPr>
          <w:rStyle w:val="Style_4_ch"/>
          <w:rFonts w:ascii="Times New Roman" w:hAnsi="Times New Roman"/>
          <w:b w:val="0"/>
          <w:sz w:val="26"/>
        </w:rPr>
        <w:fldChar w:fldCharType="begin"/>
      </w:r>
      <w:r>
        <w:rPr>
          <w:rStyle w:val="Style_4_ch"/>
          <w:rFonts w:ascii="Times New Roman" w:hAnsi="Times New Roman"/>
          <w:b w:val="0"/>
          <w:sz w:val="26"/>
        </w:rPr>
        <w:instrText>HYPERLINK "https://www.sberbank-ast.ru/"</w:instrText>
      </w:r>
      <w:r>
        <w:rPr>
          <w:rStyle w:val="Style_4_ch"/>
          <w:rFonts w:ascii="Times New Roman" w:hAnsi="Times New Roman"/>
          <w:b w:val="0"/>
          <w:sz w:val="26"/>
        </w:rPr>
        <w:fldChar w:fldCharType="separate"/>
      </w:r>
      <w:r>
        <w:rPr>
          <w:rStyle w:val="Style_4_ch"/>
          <w:rFonts w:ascii="Times New Roman" w:hAnsi="Times New Roman"/>
          <w:b w:val="0"/>
          <w:sz w:val="26"/>
        </w:rPr>
        <w:t>https://www.sberbank-ast.ru/</w:t>
      </w:r>
      <w:r>
        <w:rPr>
          <w:rStyle w:val="Style_4_ch"/>
          <w:rFonts w:ascii="Times New Roman" w:hAnsi="Times New Roman"/>
          <w:b w:val="0"/>
          <w:sz w:val="26"/>
        </w:rPr>
        <w:fldChar w:fldCharType="end"/>
      </w:r>
      <w:r>
        <w:rPr>
          <w:rFonts w:ascii="Times New Roman" w:hAnsi="Times New Roman"/>
          <w:b w:val="0"/>
          <w:sz w:val="26"/>
        </w:rPr>
        <w:t xml:space="preserve">, </w:t>
      </w:r>
      <w:r>
        <w:rPr>
          <w:rFonts w:ascii="Times New Roman" w:hAnsi="Times New Roman"/>
          <w:b w:val="0"/>
          <w:sz w:val="26"/>
        </w:rPr>
        <w:t>н</w:t>
      </w:r>
      <w:r>
        <w:rPr>
          <w:rFonts w:ascii="Times New Roman" w:hAnsi="Times New Roman"/>
          <w:b w:val="0"/>
          <w:sz w:val="26"/>
        </w:rPr>
        <w:t>а сайте</w:t>
      </w:r>
      <w:r>
        <w:rPr>
          <w:rFonts w:ascii="Times New Roman" w:hAnsi="Times New Roman"/>
          <w:b w:val="0"/>
          <w:sz w:val="26"/>
        </w:rPr>
        <w:t xml:space="preserve"> Продавца в сети «Интернет</w:t>
      </w:r>
      <w:r>
        <w:rPr>
          <w:rFonts w:ascii="Times New Roman" w:hAnsi="Times New Roman"/>
          <w:b w:val="0"/>
          <w:sz w:val="26"/>
        </w:rPr>
        <w:t xml:space="preserve">» </w:t>
      </w:r>
      <w:r>
        <w:rPr>
          <w:rStyle w:val="Style_4_ch"/>
          <w:b w:val="0"/>
          <w:sz w:val="26"/>
        </w:rPr>
        <w:fldChar w:fldCharType="begin"/>
      </w:r>
      <w:r>
        <w:rPr>
          <w:rStyle w:val="Style_4_ch"/>
          <w:b w:val="0"/>
          <w:sz w:val="26"/>
        </w:rPr>
        <w:instrText>HYPERLINK "https://tu22.rosim.gov.ru/"</w:instrText>
      </w:r>
      <w:r>
        <w:rPr>
          <w:rStyle w:val="Style_4_ch"/>
          <w:b w:val="0"/>
          <w:sz w:val="26"/>
        </w:rPr>
        <w:fldChar w:fldCharType="separate"/>
      </w:r>
      <w:r>
        <w:rPr>
          <w:rStyle w:val="Style_4_ch"/>
          <w:b w:val="0"/>
          <w:sz w:val="26"/>
        </w:rPr>
        <w:t>https://tu22.rosim.gov.ru/</w:t>
      </w:r>
      <w:r>
        <w:rPr>
          <w:rStyle w:val="Style_4_ch"/>
          <w:b w:val="0"/>
          <w:sz w:val="26"/>
        </w:rPr>
        <w:fldChar w:fldCharType="end"/>
      </w:r>
      <w:r>
        <w:rPr>
          <w:rFonts w:ascii="Times New Roman" w:hAnsi="Times New Roman"/>
          <w:b w:val="0"/>
          <w:sz w:val="26"/>
        </w:rPr>
        <w:t>, офиц</w:t>
      </w:r>
      <w:r>
        <w:rPr>
          <w:rFonts w:ascii="Times New Roman" w:hAnsi="Times New Roman"/>
          <w:b w:val="0"/>
          <w:sz w:val="26"/>
        </w:rPr>
        <w:t xml:space="preserve">иальном сайте Российской Федерации в сети «Интернет» </w:t>
      </w:r>
      <w:r>
        <w:rPr>
          <w:rStyle w:val="Style_4_ch"/>
          <w:b w:val="0"/>
          <w:sz w:val="26"/>
        </w:rPr>
        <w:fldChar w:fldCharType="begin"/>
      </w:r>
      <w:r>
        <w:rPr>
          <w:rStyle w:val="Style_4_ch"/>
          <w:b w:val="0"/>
          <w:sz w:val="26"/>
        </w:rPr>
        <w:instrText>HYPERLINK "https://torgi.gov.ru"</w:instrText>
      </w:r>
      <w:r>
        <w:rPr>
          <w:rStyle w:val="Style_4_ch"/>
          <w:b w:val="0"/>
          <w:sz w:val="26"/>
        </w:rPr>
        <w:fldChar w:fldCharType="separate"/>
      </w:r>
      <w:r>
        <w:rPr>
          <w:rStyle w:val="Style_4_ch"/>
          <w:b w:val="0"/>
          <w:sz w:val="26"/>
        </w:rPr>
        <w:t>https://torgi.gov.ru</w:t>
      </w:r>
      <w:r>
        <w:rPr>
          <w:rStyle w:val="Style_4_ch"/>
          <w:b w:val="0"/>
          <w:sz w:val="26"/>
        </w:rPr>
        <w:fldChar w:fldCharType="end"/>
      </w:r>
      <w:r>
        <w:rPr>
          <w:rFonts w:ascii="Times New Roman" w:hAnsi="Times New Roman"/>
          <w:b w:val="0"/>
          <w:sz w:val="26"/>
        </w:rPr>
        <w:t xml:space="preserve"> (далее – «Информационное сообщение»)</w:t>
      </w:r>
      <w:r>
        <w:rPr>
          <w:rFonts w:ascii="Times New Roman" w:hAnsi="Times New Roman"/>
          <w:b w:val="0"/>
          <w:sz w:val="26"/>
        </w:rPr>
        <w:t xml:space="preserve"> </w:t>
      </w:r>
      <w:r>
        <w:rPr>
          <w:rFonts w:ascii="Times New Roman" w:hAnsi="Times New Roman"/>
          <w:b w:val="0"/>
          <w:sz w:val="26"/>
        </w:rPr>
        <w:t xml:space="preserve">и </w:t>
      </w:r>
      <w:r>
        <w:rPr>
          <w:rFonts w:ascii="Times New Roman" w:hAnsi="Times New Roman"/>
          <w:b w:val="0"/>
          <w:sz w:val="26"/>
        </w:rPr>
        <w:t xml:space="preserve">на основании Протокола от «___»___________г. №___ об итогах аукциона по продаже </w:t>
      </w:r>
      <w:r>
        <w:rPr>
          <w:rFonts w:ascii="Times New Roman" w:hAnsi="Times New Roman"/>
          <w:b w:val="0"/>
          <w:sz w:val="26"/>
        </w:rPr>
        <w:t>132/11478</w:t>
      </w:r>
      <w:r>
        <w:rPr>
          <w:rFonts w:ascii="Times New Roman" w:hAnsi="Times New Roman"/>
          <w:b w:val="0"/>
          <w:sz w:val="26"/>
        </w:rPr>
        <w:t xml:space="preserve">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22:63:020311:3, РНФИ </w:t>
      </w:r>
      <w:r>
        <w:rPr>
          <w:rFonts w:ascii="Times New Roman" w:hAnsi="Times New Roman"/>
          <w:b w:val="0"/>
          <w:sz w:val="26"/>
        </w:rPr>
        <w:t>П26220000020</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 xml:space="preserve">край </w:t>
      </w:r>
      <w:r>
        <w:rPr>
          <w:rFonts w:ascii="Times New Roman" w:hAnsi="Times New Roman"/>
          <w:b w:val="0"/>
          <w:sz w:val="26"/>
        </w:rPr>
        <w:t>Алтайский,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w:t>
      </w:r>
      <w:r>
        <w:rPr>
          <w:rFonts w:ascii="Times New Roman" w:hAnsi="Times New Roman"/>
          <w:b w:val="0"/>
          <w:sz w:val="26"/>
        </w:rPr>
        <w:t>ежилым помещением на первом этаже здания рынка</w:t>
      </w:r>
      <w:r>
        <w:rPr>
          <w:rFonts w:ascii="Times New Roman" w:hAnsi="Times New Roman"/>
          <w:b w:val="0"/>
          <w:sz w:val="26"/>
        </w:rPr>
        <w:t xml:space="preserve"> пом. Н-3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22:63:020311:139, РНФИ </w:t>
      </w:r>
      <w:r>
        <w:rPr>
          <w:rFonts w:ascii="Times New Roman" w:hAnsi="Times New Roman"/>
          <w:b w:val="0"/>
          <w:sz w:val="26"/>
        </w:rPr>
        <w:t>П13220006010</w:t>
      </w:r>
      <w:r>
        <w:rPr>
          <w:rFonts w:ascii="Times New Roman" w:hAnsi="Times New Roman"/>
          <w:b w:val="0"/>
          <w:sz w:val="26"/>
        </w:rPr>
        <w:t xml:space="preserve"> </w:t>
      </w:r>
      <w:r>
        <w:rPr>
          <w:rFonts w:ascii="Times New Roman" w:hAnsi="Times New Roman"/>
          <w:b w:val="0"/>
          <w:sz w:val="26"/>
        </w:rPr>
        <w:t xml:space="preserve"> (далее – «Аукцион»)</w:t>
      </w:r>
      <w:r>
        <w:rPr>
          <w:rFonts w:ascii="Times New Roman" w:hAnsi="Times New Roman"/>
          <w:b w:val="0"/>
          <w:sz w:val="26"/>
        </w:rPr>
        <w:t xml:space="preserve"> заключили настоящий Договор (далее – «наст</w:t>
      </w:r>
      <w:r>
        <w:rPr>
          <w:rFonts w:ascii="Times New Roman" w:hAnsi="Times New Roman"/>
          <w:b w:val="0"/>
          <w:sz w:val="26"/>
        </w:rPr>
        <w:t>оящи</w:t>
      </w:r>
      <w:r>
        <w:rPr>
          <w:rFonts w:ascii="Times New Roman" w:hAnsi="Times New Roman"/>
          <w:b w:val="0"/>
          <w:sz w:val="26"/>
        </w:rPr>
        <w:t>й Договор», «Договор») о нижеследующем.</w:t>
      </w:r>
    </w:p>
    <w:p w14:paraId="09000000">
      <w:pPr>
        <w:widowControl w:val="0"/>
        <w:ind w:firstLine="720" w:left="0"/>
        <w:jc w:val="both"/>
        <w:rPr>
          <w:rFonts w:ascii="Times New Roman" w:hAnsi="Times New Roman"/>
          <w:b w:val="0"/>
          <w:sz w:val="26"/>
        </w:rPr>
      </w:pPr>
    </w:p>
    <w:p w14:paraId="0A000000">
      <w:pPr>
        <w:widowControl w:val="0"/>
        <w:ind/>
        <w:jc w:val="center"/>
        <w:rPr>
          <w:rFonts w:ascii="Times New Roman" w:hAnsi="Times New Roman"/>
          <w:b w:val="0"/>
          <w:sz w:val="26"/>
        </w:rPr>
      </w:pPr>
      <w:r>
        <w:rPr>
          <w:rFonts w:ascii="Times New Roman" w:hAnsi="Times New Roman"/>
          <w:b w:val="0"/>
          <w:sz w:val="26"/>
        </w:rPr>
        <w:t>1. Предмет Договора</w:t>
      </w:r>
    </w:p>
    <w:p w14:paraId="0B000000">
      <w:pPr>
        <w:widowControl w:val="0"/>
        <w:ind/>
        <w:jc w:val="center"/>
        <w:rPr>
          <w:rFonts w:ascii="Times New Roman" w:hAnsi="Times New Roman"/>
          <w:b w:val="0"/>
          <w:sz w:val="26"/>
        </w:rPr>
      </w:pPr>
    </w:p>
    <w:p w14:paraId="0C000000">
      <w:pPr>
        <w:widowControl w:val="0"/>
        <w:ind w:firstLine="720" w:left="0"/>
        <w:jc w:val="both"/>
        <w:rPr>
          <w:rFonts w:ascii="Times New Roman" w:hAnsi="Times New Roman"/>
          <w:b w:val="0"/>
          <w:sz w:val="26"/>
        </w:rPr>
      </w:pPr>
      <w:r>
        <w:rPr>
          <w:rFonts w:ascii="Times New Roman" w:hAnsi="Times New Roman"/>
          <w:b w:val="0"/>
          <w:sz w:val="26"/>
        </w:rPr>
        <w:t>1.1. Предметом купли-продажи по настоя</w:t>
      </w:r>
      <w:r>
        <w:rPr>
          <w:rFonts w:ascii="Times New Roman" w:hAnsi="Times New Roman"/>
          <w:b w:val="0"/>
          <w:sz w:val="26"/>
        </w:rPr>
        <w:t xml:space="preserve">щему договору являются </w:t>
      </w:r>
      <w:r>
        <w:rPr>
          <w:rFonts w:ascii="Times New Roman" w:hAnsi="Times New Roman"/>
          <w:b w:val="0"/>
          <w:sz w:val="26"/>
        </w:rPr>
        <w:t>132/11478</w:t>
      </w:r>
      <w:r>
        <w:rPr>
          <w:rFonts w:ascii="Times New Roman" w:hAnsi="Times New Roman"/>
          <w:b w:val="0"/>
          <w:sz w:val="26"/>
        </w:rPr>
        <w:t xml:space="preserve">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22:63:020311:3, РНФИ </w:t>
      </w:r>
      <w:r>
        <w:rPr>
          <w:rFonts w:ascii="Times New Roman" w:hAnsi="Times New Roman"/>
          <w:b w:val="0"/>
          <w:sz w:val="26"/>
        </w:rPr>
        <w:t>П26220000020</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 xml:space="preserve">край </w:t>
      </w:r>
      <w:r>
        <w:rPr>
          <w:rFonts w:ascii="Times New Roman" w:hAnsi="Times New Roman"/>
          <w:b w:val="0"/>
          <w:sz w:val="26"/>
        </w:rPr>
        <w:t>Алтайский,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w:t>
      </w:r>
      <w:r>
        <w:rPr>
          <w:rFonts w:ascii="Times New Roman" w:hAnsi="Times New Roman"/>
          <w:b w:val="0"/>
          <w:sz w:val="26"/>
        </w:rPr>
        <w:t>ежилым помещением на первом этаже здания рынка</w:t>
      </w:r>
      <w:r>
        <w:rPr>
          <w:rFonts w:ascii="Times New Roman" w:hAnsi="Times New Roman"/>
          <w:b w:val="0"/>
          <w:sz w:val="26"/>
        </w:rPr>
        <w:t xml:space="preserve"> </w:t>
      </w:r>
      <w:r>
        <w:rPr>
          <w:rFonts w:ascii="Times New Roman" w:hAnsi="Times New Roman"/>
          <w:b w:val="0"/>
          <w:sz w:val="26"/>
        </w:rPr>
        <w:t xml:space="preserve"> пом. Н-3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22:63:020311:139, РНФИ </w:t>
      </w:r>
      <w:r>
        <w:rPr>
          <w:rFonts w:ascii="Times New Roman" w:hAnsi="Times New Roman"/>
          <w:b w:val="0"/>
          <w:sz w:val="26"/>
        </w:rPr>
        <w:t>П13220006010</w:t>
      </w:r>
      <w:r>
        <w:rPr>
          <w:rFonts w:ascii="Times New Roman" w:hAnsi="Times New Roman"/>
          <w:b w:val="0"/>
          <w:sz w:val="26"/>
        </w:rPr>
        <w:t xml:space="preserve"> </w:t>
      </w:r>
      <w:r>
        <w:rPr>
          <w:rFonts w:ascii="Times New Roman" w:hAnsi="Times New Roman"/>
          <w:b w:val="0"/>
          <w:sz w:val="26"/>
        </w:rPr>
        <w:t>(далее - Имуществ</w:t>
      </w:r>
      <w:r>
        <w:rPr>
          <w:rFonts w:ascii="Times New Roman" w:hAnsi="Times New Roman"/>
          <w:b w:val="0"/>
          <w:sz w:val="26"/>
        </w:rPr>
        <w:t>о),</w:t>
      </w:r>
      <w:r>
        <w:rPr>
          <w:rFonts w:ascii="Times New Roman" w:hAnsi="Times New Roman"/>
          <w:b w:val="0"/>
          <w:sz w:val="26"/>
        </w:rPr>
        <w:t xml:space="preserve"> принадл</w:t>
      </w:r>
      <w:r>
        <w:rPr>
          <w:rFonts w:ascii="Times New Roman" w:hAnsi="Times New Roman"/>
          <w:b w:val="0"/>
          <w:sz w:val="26"/>
        </w:rPr>
        <w:t>ежащие на праве собственности Рос</w:t>
      </w:r>
      <w:r>
        <w:rPr>
          <w:rFonts w:ascii="Times New Roman" w:hAnsi="Times New Roman"/>
          <w:b w:val="0"/>
          <w:sz w:val="26"/>
        </w:rPr>
        <w:t>сийской Федерации.</w:t>
      </w:r>
    </w:p>
    <w:p w14:paraId="0D000000">
      <w:pPr>
        <w:widowControl w:val="0"/>
        <w:ind w:firstLine="720" w:left="0"/>
        <w:jc w:val="both"/>
        <w:rPr>
          <w:rFonts w:ascii="Times New Roman" w:hAnsi="Times New Roman"/>
          <w:b w:val="0"/>
          <w:sz w:val="26"/>
        </w:rPr>
      </w:pPr>
      <w:r>
        <w:rPr>
          <w:rFonts w:ascii="Times New Roman" w:hAnsi="Times New Roman"/>
          <w:b w:val="0"/>
          <w:sz w:val="26"/>
        </w:rPr>
        <w:t>1.2. Сведени</w:t>
      </w:r>
      <w:r>
        <w:rPr>
          <w:rFonts w:ascii="Times New Roman" w:hAnsi="Times New Roman"/>
          <w:b w:val="0"/>
          <w:sz w:val="26"/>
        </w:rPr>
        <w:t>я об Имуществе, являющемся предметом сделки купли-продажи.</w:t>
      </w:r>
    </w:p>
    <w:p w14:paraId="0E000000">
      <w:pPr>
        <w:widowControl w:val="0"/>
        <w:ind w:firstLine="720" w:left="0"/>
        <w:jc w:val="both"/>
        <w:rPr>
          <w:rFonts w:ascii="Times New Roman" w:hAnsi="Times New Roman"/>
          <w:b w:val="0"/>
          <w:sz w:val="26"/>
        </w:rPr>
      </w:pPr>
      <w:r>
        <w:rPr>
          <w:rFonts w:ascii="Times New Roman" w:hAnsi="Times New Roman"/>
          <w:b w:val="0"/>
          <w:sz w:val="26"/>
        </w:rPr>
        <w:t xml:space="preserve">1.2.1. </w:t>
      </w:r>
      <w:r>
        <w:rPr>
          <w:rFonts w:ascii="Times New Roman" w:hAnsi="Times New Roman"/>
          <w:b w:val="0"/>
          <w:sz w:val="26"/>
        </w:rPr>
        <w:t>Наименован</w:t>
      </w:r>
      <w:r>
        <w:rPr>
          <w:rFonts w:ascii="Times New Roman" w:hAnsi="Times New Roman"/>
          <w:b w:val="0"/>
          <w:sz w:val="26"/>
        </w:rPr>
        <w:t>и</w:t>
      </w:r>
      <w:r>
        <w:rPr>
          <w:rFonts w:ascii="Times New Roman" w:hAnsi="Times New Roman"/>
          <w:b w:val="0"/>
          <w:sz w:val="26"/>
        </w:rPr>
        <w:t xml:space="preserve">е: </w:t>
      </w:r>
      <w:r>
        <w:rPr>
          <w:sz w:val="26"/>
        </w:rPr>
        <w:t>Нежилое помещение на первом этаже здания рынка</w:t>
      </w:r>
      <w:r>
        <w:rPr>
          <w:rFonts w:ascii="Times New Roman" w:hAnsi="Times New Roman"/>
          <w:b w:val="0"/>
          <w:sz w:val="26"/>
        </w:rPr>
        <w:t>.</w:t>
      </w:r>
    </w:p>
    <w:p w14:paraId="0F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w:t>
      </w:r>
      <w:r>
        <w:rPr>
          <w:rFonts w:ascii="Times New Roman" w:hAnsi="Times New Roman"/>
          <w:b w:val="0"/>
          <w:sz w:val="26"/>
        </w:rPr>
        <w:t>о</w:t>
      </w:r>
      <w:r>
        <w:rPr>
          <w:rFonts w:ascii="Times New Roman" w:hAnsi="Times New Roman"/>
          <w:b w:val="0"/>
          <w:sz w:val="26"/>
        </w:rPr>
        <w:t>мер государственной регистрации права собственности Российской Федерац</w:t>
      </w:r>
      <w:r>
        <w:rPr>
          <w:rFonts w:ascii="Times New Roman" w:hAnsi="Times New Roman"/>
          <w:b w:val="0"/>
          <w:sz w:val="26"/>
        </w:rPr>
        <w:t>ии</w:t>
      </w:r>
      <w:r>
        <w:rPr>
          <w:rFonts w:ascii="Times New Roman" w:hAnsi="Times New Roman"/>
          <w:b w:val="0"/>
          <w:sz w:val="26"/>
        </w:rPr>
        <w:t>: от</w:t>
      </w:r>
      <w:r>
        <w:rPr>
          <w:rFonts w:ascii="Times New Roman" w:hAnsi="Times New Roman"/>
          <w:b w:val="0"/>
          <w:sz w:val="26"/>
        </w:rPr>
        <w:t xml:space="preserve"> </w:t>
      </w:r>
      <w:r>
        <w:rPr>
          <w:b w:val="0"/>
          <w:sz w:val="26"/>
        </w:rPr>
        <w:t>04.07.2024</w:t>
      </w:r>
      <w:r>
        <w:rPr>
          <w:rFonts w:ascii="Times New Roman" w:hAnsi="Times New Roman"/>
          <w:b w:val="0"/>
          <w:sz w:val="26"/>
        </w:rPr>
        <w:t xml:space="preserve"> </w:t>
      </w:r>
      <w:r>
        <w:rPr>
          <w:rFonts w:ascii="Times New Roman" w:hAnsi="Times New Roman"/>
          <w:b w:val="0"/>
          <w:sz w:val="26"/>
        </w:rPr>
        <w:t xml:space="preserve">№ </w:t>
      </w:r>
      <w:r>
        <w:rPr>
          <w:sz w:val="26"/>
        </w:rPr>
        <w:t>22:63:020311:139-22/111/2024-7</w:t>
      </w:r>
      <w:r>
        <w:rPr>
          <w:rFonts w:ascii="Times New Roman" w:hAnsi="Times New Roman"/>
          <w:b w:val="0"/>
          <w:sz w:val="26"/>
        </w:rPr>
        <w:t>.</w:t>
      </w:r>
      <w:r>
        <w:rPr>
          <w:rFonts w:ascii="Times New Roman" w:hAnsi="Times New Roman"/>
          <w:b w:val="0"/>
          <w:sz w:val="26"/>
        </w:rPr>
        <w:t xml:space="preserve"> </w:t>
      </w:r>
    </w:p>
    <w:p w14:paraId="10000000">
      <w:pPr>
        <w:widowControl w:val="0"/>
        <w:ind w:firstLine="720" w:left="0"/>
        <w:jc w:val="both"/>
        <w:rPr>
          <w:rFonts w:ascii="Times New Roman" w:hAnsi="Times New Roman"/>
          <w:b w:val="0"/>
          <w:sz w:val="26"/>
        </w:rPr>
      </w:pPr>
      <w:r>
        <w:rPr>
          <w:rFonts w:ascii="Times New Roman" w:hAnsi="Times New Roman"/>
          <w:b w:val="0"/>
          <w:sz w:val="26"/>
        </w:rPr>
        <w:t>Кадастровый номер:</w:t>
      </w:r>
      <w:r>
        <w:rPr>
          <w:rFonts w:ascii="Times New Roman" w:hAnsi="Times New Roman"/>
          <w:b w:val="0"/>
          <w:sz w:val="26"/>
        </w:rPr>
        <w:t xml:space="preserve"> </w:t>
      </w:r>
      <w:r>
        <w:rPr>
          <w:sz w:val="26"/>
        </w:rPr>
        <w:t>22:63:020311:139</w:t>
      </w:r>
      <w:r>
        <w:rPr>
          <w:rFonts w:ascii="Times New Roman" w:hAnsi="Times New Roman"/>
          <w:b w:val="0"/>
          <w:sz w:val="26"/>
        </w:rPr>
        <w:t>.</w:t>
      </w:r>
    </w:p>
    <w:p w14:paraId="11000000">
      <w:pPr>
        <w:widowControl w:val="0"/>
        <w:ind w:firstLine="720" w:left="0"/>
        <w:jc w:val="both"/>
        <w:rPr>
          <w:rFonts w:ascii="Times New Roman" w:hAnsi="Times New Roman"/>
          <w:b w:val="0"/>
          <w:sz w:val="26"/>
        </w:rPr>
      </w:pPr>
      <w:r>
        <w:rPr>
          <w:rFonts w:ascii="Times New Roman" w:hAnsi="Times New Roman"/>
          <w:b w:val="0"/>
          <w:sz w:val="26"/>
        </w:rPr>
        <w:t>Пло</w:t>
      </w:r>
      <w:r>
        <w:rPr>
          <w:rFonts w:ascii="Times New Roman" w:hAnsi="Times New Roman"/>
          <w:b w:val="0"/>
          <w:sz w:val="26"/>
        </w:rPr>
        <w:t xml:space="preserve">щадь: </w:t>
      </w:r>
      <w:r>
        <w:rPr>
          <w:rFonts w:ascii="Times New Roman" w:hAnsi="Times New Roman"/>
          <w:b w:val="0"/>
          <w:sz w:val="26"/>
        </w:rPr>
        <w:t>64,9</w:t>
      </w:r>
      <w:r>
        <w:rPr>
          <w:rFonts w:ascii="Times New Roman" w:hAnsi="Times New Roman"/>
          <w:b w:val="0"/>
          <w:sz w:val="26"/>
        </w:rPr>
        <w:t xml:space="preserve"> </w:t>
      </w:r>
      <w:r>
        <w:rPr>
          <w:rFonts w:ascii="Times New Roman" w:hAnsi="Times New Roman"/>
          <w:b w:val="0"/>
          <w:sz w:val="26"/>
        </w:rPr>
        <w:t>кв.</w:t>
      </w:r>
      <w:r>
        <w:rPr>
          <w:rFonts w:ascii="Times New Roman" w:hAnsi="Times New Roman"/>
          <w:b w:val="0"/>
          <w:sz w:val="26"/>
        </w:rPr>
        <w:t>м</w:t>
      </w:r>
      <w:r>
        <w:rPr>
          <w:rFonts w:ascii="Times New Roman" w:hAnsi="Times New Roman"/>
          <w:b w:val="0"/>
          <w:sz w:val="26"/>
        </w:rPr>
        <w:t>.</w:t>
      </w:r>
    </w:p>
    <w:p w14:paraId="12000000">
      <w:pPr>
        <w:widowControl w:val="0"/>
        <w:ind w:firstLine="720" w:left="0"/>
        <w:jc w:val="both"/>
        <w:rPr>
          <w:rFonts w:ascii="Times New Roman" w:hAnsi="Times New Roman"/>
          <w:b w:val="0"/>
          <w:sz w:val="26"/>
        </w:rPr>
      </w:pPr>
      <w:r>
        <w:rPr>
          <w:rFonts w:ascii="Times New Roman" w:hAnsi="Times New Roman"/>
          <w:b w:val="0"/>
          <w:sz w:val="26"/>
        </w:rPr>
        <w:t>Номер РФИ: П</w:t>
      </w:r>
      <w:r>
        <w:rPr>
          <w:rFonts w:ascii="Times New Roman" w:hAnsi="Times New Roman"/>
          <w:b w:val="0"/>
          <w:sz w:val="26"/>
        </w:rPr>
        <w:t>13220006010.</w:t>
      </w:r>
    </w:p>
    <w:p w14:paraId="13000000">
      <w:pPr>
        <w:widowControl w:val="0"/>
        <w:ind w:firstLine="720" w:left="0"/>
        <w:jc w:val="both"/>
        <w:rPr>
          <w:rFonts w:ascii="Times New Roman" w:hAnsi="Times New Roman"/>
          <w:b w:val="0"/>
          <w:sz w:val="26"/>
        </w:rPr>
      </w:pPr>
      <w:r>
        <w:rPr>
          <w:rFonts w:ascii="Times New Roman" w:hAnsi="Times New Roman"/>
          <w:b w:val="0"/>
          <w:sz w:val="26"/>
        </w:rPr>
        <w:t>Ад</w:t>
      </w:r>
      <w:r>
        <w:rPr>
          <w:rFonts w:ascii="Times New Roman" w:hAnsi="Times New Roman"/>
          <w:b w:val="0"/>
          <w:sz w:val="26"/>
        </w:rPr>
        <w:t>рес:</w:t>
      </w:r>
      <w:r>
        <w:rPr>
          <w:sz w:val="26"/>
        </w:rPr>
        <w:t xml:space="preserve"> Алтайский край, г.о. город Барнаул, г. Барнаул, ул. Германа Титова, д. 6, помещ. Н-3 </w:t>
      </w:r>
      <w:r>
        <w:rPr>
          <w:rFonts w:ascii="Times New Roman" w:hAnsi="Times New Roman"/>
          <w:b w:val="0"/>
          <w:sz w:val="26"/>
        </w:rPr>
        <w:t>.</w:t>
      </w:r>
      <w:r>
        <w:rPr>
          <w:rFonts w:ascii="Times New Roman" w:hAnsi="Times New Roman"/>
          <w:b w:val="0"/>
          <w:sz w:val="26"/>
        </w:rPr>
        <w:t xml:space="preserve"> </w:t>
      </w:r>
    </w:p>
    <w:p w14:paraId="14000000">
      <w:pPr>
        <w:widowControl w:val="0"/>
        <w:ind w:firstLine="720" w:left="0"/>
        <w:jc w:val="both"/>
        <w:rPr>
          <w:rFonts w:ascii="Times New Roman" w:hAnsi="Times New Roman"/>
          <w:b w:val="0"/>
          <w:sz w:val="26"/>
        </w:rPr>
      </w:pPr>
      <w:r>
        <w:rPr>
          <w:b w:val="0"/>
          <w:sz w:val="26"/>
        </w:rPr>
        <w:t>Ограничения, обременения: А</w:t>
      </w:r>
      <w:r>
        <w:rPr>
          <w:b w:val="0"/>
          <w:sz w:val="26"/>
        </w:rPr>
        <w:t xml:space="preserve">ренда на помещение в пользу </w:t>
      </w:r>
      <w:r>
        <w:rPr>
          <w:b w:val="0"/>
          <w:sz w:val="26"/>
        </w:rPr>
        <w:t>ИП Пак А.П.</w:t>
      </w:r>
      <w:r>
        <w:rPr>
          <w:b w:val="0"/>
          <w:sz w:val="26"/>
        </w:rPr>
        <w:t xml:space="preserve"> от 01.01.2019 № 01/01/19 (не зарегистрировано в ЕГРН)</w:t>
      </w:r>
      <w:r>
        <w:rPr>
          <w:b w:val="0"/>
          <w:sz w:val="26"/>
        </w:rPr>
        <w:t>.</w:t>
      </w:r>
    </w:p>
    <w:p w14:paraId="15000000">
      <w:pPr>
        <w:widowControl w:val="0"/>
        <w:ind w:firstLine="720" w:left="0"/>
        <w:jc w:val="both"/>
        <w:rPr>
          <w:b w:val="0"/>
          <w:sz w:val="26"/>
        </w:rPr>
      </w:pPr>
    </w:p>
    <w:p w14:paraId="16000000">
      <w:pPr>
        <w:widowControl w:val="0"/>
        <w:ind w:firstLine="720" w:left="0"/>
        <w:jc w:val="both"/>
        <w:rPr>
          <w:rFonts w:ascii="Times New Roman" w:hAnsi="Times New Roman"/>
          <w:b w:val="0"/>
          <w:sz w:val="26"/>
        </w:rPr>
      </w:pPr>
      <w:r>
        <w:rPr>
          <w:rFonts w:ascii="Times New Roman" w:hAnsi="Times New Roman"/>
          <w:b w:val="0"/>
          <w:sz w:val="26"/>
        </w:rPr>
        <w:t xml:space="preserve">1.2.2. </w:t>
      </w:r>
      <w:r>
        <w:rPr>
          <w:rFonts w:ascii="Times New Roman" w:hAnsi="Times New Roman"/>
          <w:b w:val="0"/>
          <w:sz w:val="26"/>
        </w:rPr>
        <w:t>Наименов</w:t>
      </w:r>
      <w:r>
        <w:rPr>
          <w:rFonts w:ascii="Times New Roman" w:hAnsi="Times New Roman"/>
          <w:b w:val="0"/>
          <w:sz w:val="26"/>
        </w:rPr>
        <w:t>ан</w:t>
      </w:r>
      <w:r>
        <w:rPr>
          <w:rFonts w:ascii="Times New Roman" w:hAnsi="Times New Roman"/>
          <w:b w:val="0"/>
          <w:sz w:val="26"/>
        </w:rPr>
        <w:t>ие: 132</w:t>
      </w:r>
      <w:r>
        <w:rPr>
          <w:rFonts w:ascii="Times New Roman" w:hAnsi="Times New Roman"/>
          <w:b w:val="0"/>
          <w:sz w:val="26"/>
        </w:rPr>
        <w:t xml:space="preserve">/11478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w:t>
      </w:r>
    </w:p>
    <w:p w14:paraId="17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ном</w:t>
      </w:r>
      <w:r>
        <w:rPr>
          <w:rFonts w:ascii="Times New Roman" w:hAnsi="Times New Roman"/>
          <w:b w:val="0"/>
          <w:sz w:val="26"/>
        </w:rPr>
        <w:t>ер г</w:t>
      </w:r>
      <w:r>
        <w:rPr>
          <w:rFonts w:ascii="Times New Roman" w:hAnsi="Times New Roman"/>
          <w:b w:val="0"/>
          <w:sz w:val="26"/>
        </w:rPr>
        <w:t>осударствен</w:t>
      </w:r>
      <w:r>
        <w:rPr>
          <w:rFonts w:ascii="Times New Roman" w:hAnsi="Times New Roman"/>
          <w:b w:val="0"/>
          <w:sz w:val="26"/>
        </w:rPr>
        <w:t>ной регистрации права собственности Российской Федер</w:t>
      </w:r>
      <w:r>
        <w:rPr>
          <w:rFonts w:ascii="Times New Roman" w:hAnsi="Times New Roman"/>
          <w:b w:val="0"/>
          <w:sz w:val="26"/>
        </w:rPr>
        <w:t>аци</w:t>
      </w:r>
      <w:r>
        <w:rPr>
          <w:rFonts w:ascii="Times New Roman" w:hAnsi="Times New Roman"/>
          <w:b w:val="0"/>
          <w:sz w:val="26"/>
        </w:rPr>
        <w:t xml:space="preserve">и: </w:t>
      </w:r>
      <w:r>
        <w:rPr>
          <w:b w:val="0"/>
          <w:sz w:val="26"/>
        </w:rPr>
        <w:t>01.11.2025</w:t>
      </w:r>
      <w:r>
        <w:rPr>
          <w:rFonts w:ascii="Times New Roman" w:hAnsi="Times New Roman"/>
          <w:b w:val="0"/>
          <w:sz w:val="26"/>
        </w:rPr>
        <w:t xml:space="preserve"> № </w:t>
      </w:r>
      <w:r>
        <w:rPr>
          <w:sz w:val="26"/>
        </w:rPr>
        <w:t>22:63:020311:3-22/148/2025-16</w:t>
      </w:r>
      <w:r>
        <w:rPr>
          <w:b w:val="0"/>
          <w:sz w:val="26"/>
        </w:rPr>
        <w:t>.</w:t>
      </w:r>
      <w:r>
        <w:rPr>
          <w:rFonts w:ascii="Times New Roman" w:hAnsi="Times New Roman"/>
          <w:b w:val="0"/>
          <w:sz w:val="26"/>
        </w:rPr>
        <w:t xml:space="preserve"> </w:t>
      </w:r>
    </w:p>
    <w:p w14:paraId="18000000">
      <w:pPr>
        <w:widowControl w:val="0"/>
        <w:ind w:firstLine="720" w:left="0"/>
        <w:jc w:val="both"/>
        <w:rPr>
          <w:rFonts w:ascii="Times New Roman" w:hAnsi="Times New Roman"/>
          <w:b w:val="0"/>
          <w:sz w:val="26"/>
        </w:rPr>
      </w:pPr>
      <w:r>
        <w:rPr>
          <w:rFonts w:ascii="Times New Roman" w:hAnsi="Times New Roman"/>
          <w:b w:val="0"/>
          <w:sz w:val="26"/>
        </w:rPr>
        <w:t xml:space="preserve">Кадастровый номер: </w:t>
      </w:r>
      <w:r>
        <w:rPr>
          <w:rFonts w:ascii="Times New Roman" w:hAnsi="Times New Roman"/>
          <w:b w:val="0"/>
          <w:sz w:val="26"/>
        </w:rPr>
        <w:t>22:6</w:t>
      </w:r>
      <w:r>
        <w:rPr>
          <w:rFonts w:ascii="Times New Roman" w:hAnsi="Times New Roman"/>
          <w:b w:val="0"/>
          <w:sz w:val="26"/>
        </w:rPr>
        <w:t>3:020311:3.</w:t>
      </w:r>
    </w:p>
    <w:p w14:paraId="19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П26220000020.</w:t>
      </w:r>
    </w:p>
    <w:p w14:paraId="1A000000">
      <w:pPr>
        <w:widowControl w:val="0"/>
        <w:ind w:firstLine="720" w:left="0"/>
        <w:jc w:val="both"/>
        <w:rPr>
          <w:rFonts w:ascii="Times New Roman" w:hAnsi="Times New Roman"/>
          <w:b w:val="0"/>
          <w:sz w:val="26"/>
        </w:rPr>
      </w:pPr>
      <w:r>
        <w:rPr>
          <w:rFonts w:ascii="Times New Roman" w:hAnsi="Times New Roman"/>
          <w:b w:val="0"/>
          <w:sz w:val="26"/>
        </w:rPr>
        <w:t xml:space="preserve">Общая площадь всего участка (кв. м.): </w:t>
      </w:r>
      <w:r>
        <w:rPr>
          <w:rFonts w:ascii="Times New Roman" w:hAnsi="Times New Roman"/>
          <w:b w:val="0"/>
          <w:sz w:val="26"/>
        </w:rPr>
        <w:t>11 478.</w:t>
      </w:r>
    </w:p>
    <w:p w14:paraId="1B000000">
      <w:pPr>
        <w:widowControl w:val="0"/>
        <w:ind w:firstLine="720" w:left="0"/>
        <w:jc w:val="both"/>
        <w:rPr>
          <w:rFonts w:ascii="Times New Roman" w:hAnsi="Times New Roman"/>
          <w:b w:val="0"/>
          <w:sz w:val="26"/>
        </w:rPr>
      </w:pPr>
      <w:r>
        <w:rPr>
          <w:rFonts w:ascii="Times New Roman" w:hAnsi="Times New Roman"/>
          <w:b w:val="0"/>
          <w:sz w:val="26"/>
        </w:rPr>
        <w:t>Категория земель: Земли населенны</w:t>
      </w:r>
      <w:r>
        <w:rPr>
          <w:rFonts w:ascii="Times New Roman" w:hAnsi="Times New Roman"/>
          <w:b w:val="0"/>
          <w:sz w:val="26"/>
        </w:rPr>
        <w:t>х</w:t>
      </w:r>
      <w:r>
        <w:rPr>
          <w:rFonts w:ascii="Times New Roman" w:hAnsi="Times New Roman"/>
          <w:b w:val="0"/>
          <w:sz w:val="26"/>
        </w:rPr>
        <w:t xml:space="preserve"> пунктов.</w:t>
      </w:r>
    </w:p>
    <w:p w14:paraId="1C000000">
      <w:pPr>
        <w:widowControl w:val="0"/>
        <w:ind w:firstLine="720" w:left="0"/>
        <w:jc w:val="both"/>
        <w:rPr>
          <w:b w:val="0"/>
          <w:sz w:val="26"/>
        </w:rPr>
      </w:pPr>
      <w:r>
        <w:rPr>
          <w:rFonts w:ascii="Times New Roman" w:hAnsi="Times New Roman"/>
          <w:b w:val="0"/>
          <w:sz w:val="26"/>
        </w:rPr>
        <w:t>Виды разреше</w:t>
      </w:r>
      <w:r>
        <w:rPr>
          <w:rFonts w:ascii="Times New Roman" w:hAnsi="Times New Roman"/>
          <w:b w:val="0"/>
          <w:sz w:val="26"/>
        </w:rPr>
        <w:t>нного испо</w:t>
      </w:r>
      <w:r>
        <w:rPr>
          <w:rFonts w:ascii="Times New Roman" w:hAnsi="Times New Roman"/>
          <w:b w:val="0"/>
          <w:sz w:val="26"/>
        </w:rPr>
        <w:t xml:space="preserve">льзования: </w:t>
      </w:r>
      <w:r>
        <w:rPr>
          <w:b w:val="0"/>
          <w:sz w:val="26"/>
        </w:rPr>
        <w:t>Для эксплуатации зданий рынка</w:t>
      </w:r>
      <w:r>
        <w:rPr>
          <w:b w:val="0"/>
          <w:sz w:val="26"/>
        </w:rPr>
        <w:t>.</w:t>
      </w:r>
    </w:p>
    <w:p w14:paraId="1D000000">
      <w:pPr>
        <w:widowControl w:val="0"/>
        <w:ind w:firstLine="720" w:left="0"/>
        <w:jc w:val="both"/>
        <w:rPr>
          <w:rFonts w:ascii="Times New Roman" w:hAnsi="Times New Roman"/>
          <w:b w:val="0"/>
          <w:sz w:val="26"/>
        </w:rPr>
      </w:pPr>
      <w:r>
        <w:rPr>
          <w:rFonts w:ascii="Times New Roman" w:hAnsi="Times New Roman"/>
          <w:b w:val="0"/>
          <w:sz w:val="26"/>
        </w:rPr>
        <w:t>А</w:t>
      </w:r>
      <w:r>
        <w:rPr>
          <w:rFonts w:ascii="Times New Roman" w:hAnsi="Times New Roman"/>
          <w:b w:val="0"/>
          <w:sz w:val="26"/>
        </w:rPr>
        <w:t xml:space="preserve">дрес: </w:t>
      </w:r>
      <w:r>
        <w:rPr>
          <w:sz w:val="26"/>
        </w:rPr>
        <w:t>Российская Федерация, Алтайский край, г. Барнаул, ул. Германа Титова, дом 6.</w:t>
      </w:r>
    </w:p>
    <w:p w14:paraId="1E000000">
      <w:pPr>
        <w:widowControl w:val="0"/>
        <w:ind w:firstLine="720" w:left="0"/>
        <w:jc w:val="both"/>
        <w:rPr>
          <w:sz w:val="26"/>
          <w:u w:val="single"/>
        </w:rPr>
      </w:pPr>
      <w:r>
        <w:rPr>
          <w:sz w:val="26"/>
          <w:u w:val="single"/>
        </w:rPr>
        <w:t>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сельскохозяйственного угодья в составе земель сельскохозяйственного назначения, публичного сервитута:</w:t>
      </w:r>
      <w:r>
        <w:rPr>
          <w:sz w:val="22"/>
          <w:u w:val="single"/>
        </w:rPr>
        <w:t xml:space="preserve"> </w:t>
      </w:r>
      <w:r>
        <w:t xml:space="preserve">Земельный участок полностью расположен в границах зоны с реестровым номером 22:00-6.1139 от 15.01.2025, ограничение использования земельного участка в пределах зоны: В границах шестой подзоны приаэродромной территории запрещается размещать объекты, способствующие привлечению и массовому скоплению птиц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вид/наименование: Шестая подзона приаэродромной территории аэродрома гражданской авиации класса "В" Барнаул (Михайловка), тип: Приаэродромная территория, решения: 1. дата решения: 25.11.2024, номер решения: 40752/04, наименование ОГВ/ОМСУ: Росавиация 2. дата решения: 04.12.2024, номер решения: б/н 3. дата решения: 02.05.2023, номер решения: 272-П, наименование ОГВ/ОМСУ: Федеральное агентства воздушного транспорта Земельный участок полностью расположен в границах зоны с реестровым номером 22:63-6.6700 от 27.02.2025, ограничение использования земельного участка в пределах зоны: Ограничения, установленные пунктами 3.2.2, 3.2.3 СанПиН 2.1.4.1110-02 «Зоны санитарной охраны источников водоснабжения и водопроводов питьевого назначения» 3.2.2. Мероприятия по второму и третьему поясам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3.2.3. Мероприятия по второму поясу Кроме мероприятий, указанных в разделе 3.2.2, в пределах второго пояса ЗСО подземных источников водоснабжения подлежат выполнению следующие </w:t>
      </w:r>
      <w:r>
        <w:t xml:space="preserve">дополнительные мероприятия: 3.2.3.1.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3.2.3.2.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вид/наименование: Зона санитарной охраны третьего пояса действующего водозабора подземных вод на участке с кадастровым номером 22:63:020211:734 Барнаульского месторождения в г. Барнауле Алтайского края (скважина № 3-08/03 (рабочая), скважина № БР-765 (резервная)), тип: Зона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 решения: 1. дата решения: 21.02.2025, номер решения: 24/П/2279, наименование ОГВ/ОМСУ: Министерство природных ресурсов и экологии Алтайского края (Минприроды Алтайского края) 2. дата решения: 26.12.2024, номер решения: б/н, наименование ОГВ/ОМСУ: Кадастровый инженер Жестовская М.С. 3. дата решения: 20.02.2025, номер решения: 154, наименование ОГВ/ОМСУ: Министерство природных ресурсов и экологии Алтайского края (Минприроды Алтайского края) Земельный участок полностью расположен в границах зоны с реестровым номером 22:00-6.1137 от 15.01.2025, ограничение использования земельного участка в пределах зоны: 1.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Право на использование радиочастотного спектра предоставляется посредством выделения полос радиочастот и (или) присвоения (назначения) радиочастот или радиочастотных каналов. Использование радиочастотного спектра без соответствующего разрешения не допускается, если иное не предусмотрено Федеральным законом от 7 июля 2003 г. № 126-ФЗ «О связи». 3. Для размещения объектов вблизи ДПРМ, БПРМ, ОПРС устанавливаются следующие ограничения: сооружения, имеющие значительные металлические массы (мосты, электрифицированные железные дороги, ангары), воздушные высоковольтные линии электропередач (&gt;1000 В) – не ближе, чем 300 м от места установки антенны; одноэтажные сооружения из железобетона, воздушные низковольтные линии электропередач (&lt;1000 В) – не ближе, чем 100 м от места установки антенны. 4. В пределах четвертой подзоны приаэродромной территории запрещается без согласования с оператором аэродрома размещение объектов, превышающих следующие абсолютные высотные ограничения в </w:t>
      </w:r>
      <w:r>
        <w:t>секторах: Сектор 1 – 246,85 м Сектор 2 – 265,07 м Сектор 3 – 263,42 м Сектор 4 – 263,42 м Сектор 5 – 259,05 м Сектор 6 – 254,69 м Сектор 7 – 259,05 м Сектор 8 – 255, 96 м Сектор 9 – 259,05 м Сектор 10 – 267,78 м Сектор 11 – 272,14 м Сектор 12 – 276,51 м Сектор 13 – 272,14 м Сектор 14 – 271,15 м Сектор 15 – 273,8 м Сектор 16 – 275,51 м Сектор 17 – 275,51 м Сектор 18 – 273,80 м Сектор 19 – 271,15 м Сектор 20 – 267,78 м Сектор 21 – 252,23 м Сектор 22 – 245,25 м Сектор 23 – 243,94 м Сектор 24 – 247,22 м Сектор 25 – 257,69 м Сектор 26 – 260,96 м Сектор 27 – 266,42 м Сектор 28 – 269,69 м Сектор 29 – 275,15 м Сектор 30 – 278,41 м Сектор 31 – 280,87 м Сектор 32 – 279,87 м Сектор 33 – 272,14 м Сектор 34 – 276,51 м Сектор 35 – 278,41 м Сектор 36 – 277,95 м Сектор 37 – 283,88 м Сектор 38 – 285,23 м Сектор 39 – 284,24 м Сектор 40 – 280,87 м Сектор 41 – 283,88 м Сектор 42 – 269,2 м Сектор 43 – 287,14 м Сектор 44 – 288,6 м Сектор 45 – 285,23 м Сектор 46 – 289,6 м Сектор 47 – 292,6 м Сектор 48 – 289,6 м Сектор 49 – 292,96 м Сектор 50 – 293,96 м Сектор 51 – 297,33 м Сектор 52 – 298,32 м Сектор 53 – 301,69 м Сектор 54 – 302,69м Сектор 55 – 306,05 м Сектор 56 – 307,05 м Сектор 57 – 310,42 м Сектор 58 – 290,42 м Сектор 59 – 281,67 м Сектор 60 – 310,42 м Сектор 61 – 311,41 м Сектор 62 – 314,78 м Сектор 63 – 315,78 м Сектор 64 – 319,14 м Сектор 65 – 320,14 м Сектор 66 – 323,51 м Сектор 67 – 324,5 м Сектор 68 – 327,87 м Сектор 69 – 328,87 м Сектор 70 – 332,23 м Сектор 71 – 333,23 м Сектор 72 – 336,6 м Сектор 73 – 337,6 м Сектор 74 – 340,96 м Сектор 75 – 341,96 м Сектор 76 – 345,33 м Сектор 77 – 346,32 м Сектор 78 – 349,69 м Сектор 79 – 350,69 м Сектор 80 – 354,05 м Сектор 81 – 355,05 м Сектор 82 – 358,42 м Сектор 83 – 359,41 м Сектор 84 – 362,78 м Сектор 85 – 363,78 м Сектор 86 – 367,14 м Сектор 87 – 368,14 м Сектор 88 – 371,51 м Сектор 89 – 372,5 м Сектор 90 – 375,87 м Сектор 91 – 376,87 м Сектор 92 – 380,23 м Сектор 93 – 381,23 м Сектор 94 – 384,6 м Сектор 95 – 388,96 м Сектор 96 – 383,69 м Сектор 97 – 444,46 м Сектор 98 – 477,03 м Сектор 99 – 778,04 м Сектор 100 – 763,04 м Сектор 101 – 748,04 м Сектор 102 – 733,04 м Сектор 103 – 718,04 м Сектор 104 – 703,04 м Сектор 105 – 688,04 м Сектор 106 – 444,46 м Сектор 107 – 477,03 м Сектор 108 – 778,04 м Сектор 109 – 763,04 м Сектор 110 – 748,04 м Сектор 111 – 733,04 м Сектор 112 – 718,04 м Сектор 113 – 703,04 м Сектор 114 – 688,04 м Сектор 115 – 673,04 м Сектор 116 – 658,04 м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вид/наименование: Четвертая подзона приаэродромной территории аэродрома гражданской авиации класса "В" Барнаул (Михайловка), тип: Приаэродромная территория, решения: 1. дата решения: 25.11.2024, номер решения: 40752/04, наименование ОГВ/ОМСУ: Росавиация 2. дата решения: 04.12.2024, номер решения: б/н 3. дата решения: 02.05.2023, номер решения: 272-П, наименование ОГВ/ОМСУ: Федеральное агентства воздушного транспорта.</w:t>
      </w:r>
    </w:p>
    <w:p w14:paraId="1F000000">
      <w:pPr>
        <w:widowControl w:val="0"/>
        <w:ind w:firstLine="720" w:left="0"/>
        <w:jc w:val="both"/>
        <w:rPr>
          <w:sz w:val="22"/>
        </w:rPr>
      </w:pPr>
      <w:r>
        <w:rPr>
          <w:sz w:val="26"/>
          <w:u w:val="single"/>
        </w:rPr>
        <w:t>Особые отметки:</w:t>
      </w:r>
      <w:r>
        <w:rPr>
          <w:sz w:val="26"/>
        </w:rPr>
        <w:t xml:space="preserve"> </w:t>
      </w:r>
      <w:r>
        <w:t xml:space="preserve">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w:t>
      </w:r>
      <w:r>
        <w:t xml:space="preserve">ограничения (обременения): ограничения прав на земельный участок, предусмотренные статьей 56 Земельного кодекса Российской Федерации; срок действия: c 29.10.2020. вид ограничения (обременения): ограничения прав на земельный участок, предусмотренные статьей 56 Земельного кодекса Российской Федерации; срок действия: c 27.11.2020; реквизиты документа-основания: сопроводительное письмо от 19.11.2020 № 22-00-02/32-14597-2020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описание местоположения границ от 04.09.2020 № б/н выдан: Делич Владимир Ильич; решение "Об установлении санитарно-защитной зоны" от 18.11.2020 № 22-00-05/36-14505-2020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вид ограничения (обременения): ограничения прав на земельный участок, предусмотренные статьей 56 Земельного кодекса Российской Федерации; срок действия: c 03.06.2022; реквизиты документа-основания: сопроводительное письмо от 11.04.2022 № 03-02/117 выдан: Филиал АО "Барнаульская генерация" - "Барнаульская теплосетевая компания"; описание местоположения границ от 08.04.2022 № б/н выдан: ООО "АГК", кадастровый инженер Гузенко Н.В.; выписка из ЕГРН от 09.02.2021 № б/н выдан: Управление Федеральной службы государственной регистрации, кадастра и картографии по Алтайскому краю. вид ограничения (обременения): ограничения прав на земельный участок, предусмотренные статьей 56 Земельного кодекса Российской Федерации; срок действия: c 11.02.2025;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16.07.2025; реквизиты документа-основания: сопроводительное письмо от 21.02.2025 № 24/П/2279 выдан: Министерство природных ресурсов и экологии Алтайского края (Минприроды Алтайского края); графическое описание местоположения границ от 26.12.2024 № б/н выдан: Кадастровый инженер Жестовская М.С.; приказ об установлении зон санитарной охраны подземных источников питьевого и хозяйственно-бытового водоснабжения от 20.02.2025 № 154 выдан: Министерство природных ресурсов и экологии Алтайского края (Минприроды Алтайского края). вид ограничения (обременения): ограничения прав на земельный участок, предусмотренные статьей 56 Земельного </w:t>
      </w:r>
      <w:r>
        <w:t>кодекса Российской Федерации; срок действия: c 18.12.2025;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w:t>
      </w:r>
    </w:p>
    <w:p w14:paraId="20000000">
      <w:pPr>
        <w:widowControl w:val="0"/>
        <w:ind w:firstLine="720" w:left="0"/>
        <w:jc w:val="both"/>
        <w:rPr>
          <w:sz w:val="22"/>
        </w:rPr>
      </w:pPr>
    </w:p>
    <w:p w14:paraId="21000000">
      <w:pPr>
        <w:widowControl w:val="0"/>
        <w:ind w:firstLine="720" w:left="0"/>
        <w:jc w:val="both"/>
        <w:rPr>
          <w:sz w:val="22"/>
        </w:rPr>
      </w:pPr>
      <w:r>
        <w:rPr>
          <w:sz w:val="26"/>
          <w:u w:val="single"/>
        </w:rPr>
        <w:t>Содержание ограничения в использовании или ограничения права на объект недвижимости или обременения объекта недвижимости:</w:t>
      </w:r>
      <w:r>
        <w:rPr>
          <w:sz w:val="22"/>
        </w:rPr>
        <w:t xml:space="preserve"> </w:t>
      </w:r>
      <w:r>
        <w:t>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Реестровый номер границы: 22.63.2.1091.</w:t>
      </w:r>
    </w:p>
    <w:p w14:paraId="22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19.11.2020 № 22-00-02/32-14597-2020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описание местоположения границ от 04.09.2020 № б/н выдан: Делич Владимир Ильич; решение "Об установлении санитарно-защитной зоны" от 18.11.2020 № 22-00-05/36-14505-2020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Содержание ограничения (обременения): В соответствии с п.5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Российской Федерации от 3 марта 2018 г. N 222 (в ред. Постановления Правительства РФ от 21.12.2018 N 1622), в границах санитарно-защитной зоны не допускается использования земельных участков в целях: а) размещения жилой застройки, </w:t>
      </w:r>
      <w:r>
        <w:t>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 Реестровый номер границы: 22:63-6.4997; Вид объекта реестра границ: Зона с особыми условиями использования территории; Вид зоны по документу: Санитарно-защитная зона предприятия ООО «Сибинвест-Груп» объекта "Производственная площадка, расположенная по адресу: край Алтайский, г. Барнаул, ул. Германа Титова, дом 6, кадастровый номер 22:63:020311:3"; Тип зоны: Санитарно-защитная зона предприятий, сооружений и иных объектов.</w:t>
      </w:r>
    </w:p>
    <w:p w14:paraId="23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11.04.2022 № 03-02/117 выдан: Филиал АО "Барнаульская генерация" - "Барнаульская теплосетевая компания"; описание местоположения границ от 08.04.2022 № б/н выдан: ООО "АГК", кадастровый инженер Гузенко Н.В.; выписка из ЕГРН от 09.02.2021 № б/н выдан: Управление Федеральной службы государственной регистрации, кадастра и картографии по Алтайскому краю; Содержание ограничения (обременения): Ограничения использования земель установлены в соответствии Приказом Минстроя РФ от 17.08.1992 N 197 "О типовых правилах охраны коммунальных тепловых сетей": 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размещать автозаправочные станции, хранилища горюче-смазочных материалов, складировать агрессивные химические материалы;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устраивать всякого рода свалки, разжигать костры, сжигать бытовой мусор или промышленные отходы; производить работы ударными механизмами, производить сброс и слив едких и коррозионно-активных веществ и горюче-смазочных материалов; проникать в помещения павильонов, центральных и </w:t>
      </w:r>
      <w:r>
        <w:t xml:space="preserve">индивидуальных тепловых пунктов посторонним лицам; открывать, снимать, засыпать люки камер тепловых сетей; сбрасывать в камеры мусор, отходы, снег и т.д.;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 производить строительство, капитальный ремонт, реконструкцию или снос любых зданий и сооружений; производить земляные работы, планировку грунта, посадку деревьев и кустарников, устраивать монументальные клумбы; производить погрузочно-разгрузочные работы, а также работы, связанные с разбиванием грунта и дорожных покрытий; сооружать переезды и переходы через трубопроводы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 Реестровый номер границы: 22:63-6.5438; Вид объекта реестра границ: Зона с особыми условиями использования территории; Вид зоны по документу: Охранная зона тепловой магистральной сети ТК1(О) до ТК5 Магистраль 231 Западного сетевого района; Тип зоны: Охранная зона инженерных коммуникаций </w:t>
      </w: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Содержание ограничения (обременения): В границах шестой подзоны приаэродромной территории запрещается размещать объекты, способствующие привлечению и массовому скоплению птиц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Реестровый номер границы: 22:00-6.1139; Вид объекта реестра границ: Зона с особыми условиями использования территории; </w:t>
      </w:r>
      <w:r>
        <w:t>Вид зоны по документу: Шестая подзона приаэродромной территории аэродрома гражданской авиации класса "В" Барнаул (Михайловка); Тип зоны: Приаэродромная территория.</w:t>
      </w:r>
    </w:p>
    <w:p w14:paraId="24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21.02.2025 № 24/П/2279 выдан: Министерство природных ресурсов и экологии Алтайского края (Минприроды Алтайского края); графическое описание местоположения границ от 26.12.2024 № б/н выдан: Кадастровый инженер Жестовская М.С.; приказ об установлении зон санитарной охраны подземных источников питьевого и хозяйственно-бытового водоснабжения от 20.02.2025 № 154 выдан: Министерство природных ресурсов и экологии Алтайского края (Минприроды Алтайского края); Содержание ограничения (обременения): Ограничения, установленные пунктами 3.2.2, 3.2.3 СанПиН 2.1.4.1110-02 «Зоны санитарной охраны источников водоснабжения и водопроводов питьевого назначения» 3.2.2. Мероприятия по второму и третьему поясам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3.2.3. Мероприятия по второму поясу Кроме мероприятий, указанных в разделе 3.2.2, в пределах второго пояса ЗСО подземных источников водоснабжения подлежат выполнению следующие дополнительные мероприятия: 3.2.3.1.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3.2.3.2. Выполнение мероприятий </w:t>
      </w:r>
      <w:r>
        <w:t>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Реестровый номер границы: 22:63-6.6700; Вид объекта реестра границ: Зона с особыми условиями использования территории; Вид зоны по документу: Зона санитарной охраны третьего пояса действующего водозабора подземных вод на участке с кадастровым номером 22:63:020211:734 Барнаульского месторождения в г. Барнауле Алтайского края (скважина № 3-08/03 (рабочая), скважина № БР-765 (резервная)); Тип зоны: Зона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25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Содержание ограничения (обременения): 1.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Право на использование радиочастотного спектра предоставляется посредством выделения полос радиочастот и (или) присвоения (назначения) радиочастот или радиочастотных каналов. Использование радиочастотного спектра без соответствующего разрешения не допускается, если иное не предусмотрено Федеральным законом от 7 июля 2003 г. № 126-ФЗ «О связи». 3. Для размещения объектов вблизи ДПРМ, БПРМ, ОПРС устанавливаются следующие ограничения: сооружения, имеющие значительные металлические массы (мосты, электрифицированные железные дороги, ангары), воздушные высоковольтные линии электропередач (&gt;1000 В) – не ближе, чем 300 м от места установки антенны; одноэтажные сооружения из железобетона, воздушные низковольтные линии электропередач (&lt;1000 В) – не ближе, чем 100 м от места установки антенны. 4. В пределах четвертой подзоны приаэродромной территории запрещается без согласования с оператором аэродрома размещение объектов, превышающих следующие абсолютные высотные ограничения в секторах: Сектор 1 – 246,85 м Сектор 2 – 265,07 м Сектор 3 – 263,42 м Сектор 4 – 263,42 м Сектор 5 – 259,05 м Сектор 6 – 254,69 м Сектор 7 – 259,05 м Сектор 8 – 255, 96 м Сектор 9 – 259,05 м Сектор 10 – 267,78 м Сектор 11 – 272,14 м Сектор 12 – 276,51 м Сектор 13 – 272,14 м Сектор 14 – 271,15 м Сектор 15 – 273,8 м Сектор 16 – 275,51 м Сектор 17 – 275,51 м Сектор 18 – 273,80 м Сектор 19 – 271,15 м Сектор 20 – 267,78 м Сектор 21 – 252,23 м Сектор 22 – </w:t>
      </w:r>
      <w:r>
        <w:t>245,25 м Сектор 23 – 243,94 м Сектор 24 – 247,22 м Сектор 25 – 257,69 м Сектор 26 – 260,96 м Сектор 27 – 266,42 м Сектор 28 – 269,69 м Сектор 29 – 275,15 м Сектор 30 – 278,41 м Сектор 31 – 280,87 м Сектор 32 – 279,87 м Сектор 33 – 272,14 м Сектор 34 – 276,51 м Сектор 35 – 278,41 м Сектор 36 – 277,95 м Сектор 37 – 283,88 м Сектор 38 – 285,23 м Сектор 39 – 284,24 м Сектор 40 – 280,87 м Сектор 41 – 283,88 м Сектор 42 – 269,2 м Сектор 43 – 287,14 м Сектор 44 – 288,6 м Сектор 45 – 285,23 м Сектор 46 – 289,6 м Сектор 47 – 292,6 м Сектор 48 – 289,6 м Сектор 49 – 292,96 м Сектор 50 – 293,96 м Сектор 51 – 297,33 м Сектор 52 – 298,32 м Сектор 53 – 301,69 м Сектор 54 – 302,69м Сектор 55 – 306,05 м Сектор 56 – 307,05 м Сектор 57 – 310,42 м Сектор 58 – 290,42 м Сектор 59 – 281,67 м Сектор 60 – 310,42 м Сектор 61 – 311,41 м Сектор 62 – 314,78 м Сектор 63 – 315,78 м Сектор 64 – 319,14 м Сектор 65 – 320,14 м Сектор 66 – 323,51 м Сектор 67 – 324,5 м Сектор 68 – 327,87 м Сектор 69 – 328,87 м Сектор 70 – 332,23 м Сектор 71 – 333,23 м Сектор 72 – 336,6 м Сектор 73 – 337,6 м Сектор 74 – 340,96 м Сектор 75 – 341,96 м Сектор 76 – 345,33 м Сектор 77 – 346,32 м Сектор 78 – 349,69 м Сектор 79 – 350,69 м Сектор 80 – 354,05 м Сектор 81 – 355,05 м Сектор 82 – 358,42 м Сектор 83 – 359,41 м Сектор 84 – 362,78 м Сектор 85 – 363,78 м Сектор 86 – 367,14 м Сектор 87 – 368,14 м Сектор 88 – 371,51 м Сектор 89 – 372,5 м Сектор 90 – 375,87 м Сектор 91 – 376,87 м Сектор 92 – 380,23 м Сектор 93 – 381,23 м Сектор 94 – 384,6 м Сектор 95 – 388,96 м Сектор 96 – 383,69 м Сектор 97 – 444,46 м Сектор 98 – 477,03 м Сектор 99 – 778,04 м Сектор 100 – 763,04 м Сектор 101 – 748,04 м Сектор 102 – 733,04 м Сектор 103 – 718,04 м Сектор 104 – 703,04 м Сектор 105 – 688,04 м Сектор 106 – 444,46 м Сектор 107 – 477,03 м Сектор 108 – 778,04 м Сектор 109 – 763,04 м Сектор 110 – 748,04 м Сектор 111 – 733,04 м Сектор 112 – 718,04 м Сектор 113 – 703,04 м Сектор 114 – 688,04 м Сектор 115 – 673,04 м Сектор 116 – 658,04 м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Реестровый номер границы: 22:00-6.1137; Вид объекта реестра границ: Зона с особыми условиями использования территории; Вид зоны по документу: Четвертая подзона приаэродромной территории аэродрома гражданской авиации класса "В" Барнаул (Михайловка); Тип зоны: Приаэродромная территория.</w:t>
      </w:r>
    </w:p>
    <w:p w14:paraId="26000000">
      <w:pPr>
        <w:widowControl w:val="0"/>
        <w:ind w:firstLine="720" w:left="0"/>
        <w:jc w:val="both"/>
        <w:rPr>
          <w:sz w:val="22"/>
        </w:rPr>
      </w:pPr>
    </w:p>
    <w:p w14:paraId="27000000">
      <w:pPr>
        <w:widowControl w:val="0"/>
        <w:ind/>
        <w:jc w:val="center"/>
        <w:rPr>
          <w:rFonts w:ascii="Times New Roman" w:hAnsi="Times New Roman"/>
          <w:b w:val="1"/>
          <w:sz w:val="26"/>
        </w:rPr>
      </w:pPr>
      <w:r>
        <w:rPr>
          <w:rFonts w:ascii="Times New Roman" w:hAnsi="Times New Roman"/>
          <w:b w:val="1"/>
          <w:sz w:val="26"/>
        </w:rPr>
        <w:t>2. Обязательства Сторон</w:t>
      </w:r>
    </w:p>
    <w:p w14:paraId="28000000">
      <w:pPr>
        <w:widowControl w:val="0"/>
        <w:ind/>
        <w:jc w:val="center"/>
        <w:rPr>
          <w:rFonts w:ascii="Times New Roman" w:hAnsi="Times New Roman"/>
          <w:b w:val="1"/>
          <w:sz w:val="26"/>
        </w:rPr>
      </w:pPr>
    </w:p>
    <w:p w14:paraId="29000000">
      <w:pPr>
        <w:widowControl w:val="0"/>
        <w:spacing w:line="240" w:lineRule="auto"/>
        <w:ind w:firstLine="709" w:left="0"/>
        <w:jc w:val="both"/>
        <w:rPr>
          <w:rFonts w:ascii="Times New Roman" w:hAnsi="Times New Roman"/>
          <w:color w:val="000000"/>
          <w:sz w:val="26"/>
        </w:rPr>
      </w:pPr>
      <w:r>
        <w:rPr>
          <w:rFonts w:ascii="Times New Roman" w:hAnsi="Times New Roman"/>
          <w:color w:val="000000"/>
          <w:sz w:val="26"/>
        </w:rPr>
        <w:t>2.1.</w:t>
      </w:r>
      <w:r>
        <w:rPr>
          <w:rFonts w:ascii="Times New Roman" w:hAnsi="Times New Roman"/>
          <w:color w:val="000000"/>
          <w:sz w:val="26"/>
        </w:rPr>
        <w:t xml:space="preserve"> Продавец обязан совершить предусмотренные настоящим пунктом Договора </w:t>
      </w:r>
      <w:r>
        <w:rPr>
          <w:rFonts w:ascii="Times New Roman" w:hAnsi="Times New Roman"/>
          <w:color w:val="000000"/>
          <w:sz w:val="26"/>
        </w:rPr>
        <w:t>действия, направленные на передачу Имущества в собственность Покупателю, а именно:</w:t>
      </w:r>
    </w:p>
    <w:p w14:paraId="2A000000">
      <w:pPr>
        <w:widowControl w:val="0"/>
        <w:spacing w:line="264" w:lineRule="auto"/>
        <w:ind w:firstLine="709" w:left="0"/>
        <w:jc w:val="both"/>
        <w:rPr>
          <w:rFonts w:ascii="Times New Roman" w:hAnsi="Times New Roman"/>
          <w:i w:val="1"/>
          <w:color w:val="000000"/>
          <w:sz w:val="26"/>
          <w:u w:val="single"/>
        </w:rPr>
      </w:pPr>
      <w:r>
        <w:rPr>
          <w:rFonts w:ascii="Times New Roman" w:hAnsi="Times New Roman"/>
          <w:color w:val="000000"/>
          <w:sz w:val="26"/>
        </w:rPr>
        <w:t xml:space="preserve">- после полной оплаты Покупателем цены продажи Имущества </w:t>
      </w:r>
      <w:r>
        <w:rPr>
          <w:rFonts w:ascii="Times New Roman" w:hAnsi="Times New Roman"/>
          <w:sz w:val="26"/>
        </w:rPr>
        <w:t xml:space="preserve">осуществить действия по передаче </w:t>
      </w:r>
      <w:r>
        <w:rPr>
          <w:rFonts w:ascii="Times New Roman" w:hAnsi="Times New Roman"/>
          <w:sz w:val="26"/>
        </w:rPr>
        <w:t>Имущества</w:t>
      </w:r>
      <w:r>
        <w:rPr>
          <w:rFonts w:ascii="Times New Roman" w:hAnsi="Times New Roman"/>
          <w:sz w:val="26"/>
        </w:rPr>
        <w:t xml:space="preserve"> в собственность Покупателя в порядке, установленном </w:t>
      </w:r>
      <w:r>
        <w:rPr>
          <w:rFonts w:ascii="Times New Roman" w:hAnsi="Times New Roman"/>
          <w:sz w:val="26"/>
        </w:rPr>
        <w:t>пунктом</w:t>
      </w:r>
      <w:r>
        <w:rPr>
          <w:rFonts w:ascii="Times New Roman" w:hAnsi="Times New Roman"/>
          <w:sz w:val="26"/>
        </w:rPr>
        <w:t xml:space="preserve"> 4 настоящего Договора</w:t>
      </w:r>
      <w:r>
        <w:rPr>
          <w:rFonts w:ascii="Times New Roman" w:hAnsi="Times New Roman"/>
          <w:color w:val="000000"/>
          <w:sz w:val="26"/>
        </w:rPr>
        <w:t>.</w:t>
      </w:r>
    </w:p>
    <w:p w14:paraId="2B000000">
      <w:pPr>
        <w:widowControl w:val="0"/>
        <w:spacing w:line="240" w:lineRule="auto"/>
        <w:ind w:firstLine="709" w:left="40"/>
        <w:jc w:val="both"/>
        <w:rPr>
          <w:rFonts w:ascii="Times New Roman" w:hAnsi="Times New Roman"/>
          <w:color w:val="000000"/>
          <w:sz w:val="26"/>
        </w:rPr>
      </w:pPr>
      <w:r>
        <w:rPr>
          <w:rFonts w:ascii="Times New Roman" w:hAnsi="Times New Roman"/>
          <w:color w:val="000000"/>
          <w:sz w:val="26"/>
        </w:rPr>
        <w:t>2.2.</w:t>
      </w:r>
      <w:r>
        <w:rPr>
          <w:rFonts w:ascii="Times New Roman" w:hAnsi="Times New Roman"/>
          <w:color w:val="000000"/>
          <w:sz w:val="26"/>
        </w:rPr>
        <w:t xml:space="preserve"> Покупатель обязан:</w:t>
      </w:r>
    </w:p>
    <w:p w14:paraId="2C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xml:space="preserve">- оплатить Имущество в порядке, предусмотренном </w:t>
      </w:r>
      <w:r>
        <w:rPr>
          <w:rFonts w:ascii="Times New Roman" w:hAnsi="Times New Roman"/>
          <w:color w:val="000000"/>
          <w:sz w:val="26"/>
        </w:rPr>
        <w:t>пунктом</w:t>
      </w:r>
      <w:r>
        <w:rPr>
          <w:rFonts w:ascii="Times New Roman" w:hAnsi="Times New Roman"/>
          <w:color w:val="000000"/>
          <w:sz w:val="26"/>
        </w:rPr>
        <w:t xml:space="preserve"> 3 настоящего Договора;</w:t>
      </w:r>
    </w:p>
    <w:p w14:paraId="2D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принять Имущество по передаточному акту в срок не более тридцати дней с момента его полной оплаты;</w:t>
      </w:r>
    </w:p>
    <w:p w14:paraId="2E000000">
      <w:pPr>
        <w:widowControl w:val="0"/>
        <w:spacing w:line="264" w:lineRule="auto"/>
        <w:ind w:firstLine="709" w:left="0"/>
        <w:jc w:val="both"/>
        <w:rPr>
          <w:rFonts w:ascii="Times New Roman" w:hAnsi="Times New Roman"/>
          <w:color w:val="000000"/>
          <w:sz w:val="26"/>
        </w:rPr>
      </w:pPr>
      <w:r>
        <w:rPr>
          <w:rFonts w:ascii="Times New Roman" w:hAnsi="Times New Roman"/>
          <w:color w:val="000000"/>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2F000000">
      <w:pPr>
        <w:widowControl w:val="0"/>
        <w:tabs>
          <w:tab w:leader="none" w:pos="1080" w:val="left"/>
        </w:tabs>
        <w:ind w:firstLine="720" w:left="0"/>
        <w:jc w:val="both"/>
        <w:rPr>
          <w:rFonts w:ascii="Times New Roman" w:hAnsi="Times New Roman"/>
          <w:sz w:val="26"/>
        </w:rPr>
      </w:pPr>
      <w:r>
        <w:rPr>
          <w:rFonts w:ascii="Times New Roman" w:hAnsi="Times New Roman"/>
          <w:color w:val="000000"/>
          <w:sz w:val="26"/>
        </w:rPr>
        <w:t>2.3</w:t>
      </w:r>
      <w:r>
        <w:rPr>
          <w:rFonts w:ascii="Times New Roman" w:hAnsi="Times New Roman"/>
          <w:color w:val="000000"/>
          <w:sz w:val="26"/>
        </w:rPr>
        <w:t>. После подписания передаточного акта с Продавцом риск случайной гибели и случайного повреждения Имущества переходит на Покупателя.</w:t>
      </w:r>
    </w:p>
    <w:p w14:paraId="30000000">
      <w:pPr>
        <w:widowControl w:val="0"/>
        <w:ind/>
        <w:jc w:val="center"/>
        <w:rPr>
          <w:rFonts w:ascii="Times New Roman" w:hAnsi="Times New Roman"/>
          <w:b w:val="1"/>
          <w:sz w:val="26"/>
        </w:rPr>
      </w:pPr>
    </w:p>
    <w:p w14:paraId="31000000">
      <w:pPr>
        <w:widowControl w:val="0"/>
        <w:ind/>
        <w:jc w:val="center"/>
        <w:rPr>
          <w:rFonts w:ascii="Times New Roman" w:hAnsi="Times New Roman"/>
          <w:b w:val="1"/>
          <w:sz w:val="26"/>
        </w:rPr>
      </w:pPr>
      <w:r>
        <w:rPr>
          <w:rFonts w:ascii="Times New Roman" w:hAnsi="Times New Roman"/>
          <w:b w:val="1"/>
          <w:sz w:val="26"/>
        </w:rPr>
        <w:t xml:space="preserve">3. Порядок оплаты </w:t>
      </w:r>
      <w:r>
        <w:rPr>
          <w:rFonts w:ascii="Times New Roman" w:hAnsi="Times New Roman"/>
          <w:b w:val="1"/>
          <w:sz w:val="26"/>
        </w:rPr>
        <w:t>Имущества</w:t>
      </w:r>
    </w:p>
    <w:p w14:paraId="32000000">
      <w:pPr>
        <w:widowControl w:val="0"/>
        <w:ind w:firstLine="720" w:left="0"/>
        <w:jc w:val="both"/>
        <w:rPr>
          <w:rFonts w:ascii="Times New Roman" w:hAnsi="Times New Roman"/>
          <w:sz w:val="26"/>
        </w:rPr>
      </w:pPr>
      <w:r>
        <w:rPr>
          <w:rFonts w:ascii="Times New Roman" w:hAnsi="Times New Roman"/>
          <w:sz w:val="26"/>
        </w:rPr>
        <w:t xml:space="preserve">3.1. Установленная по итогам </w:t>
      </w:r>
      <w:r>
        <w:rPr>
          <w:rFonts w:ascii="Times New Roman" w:hAnsi="Times New Roman"/>
          <w:sz w:val="26"/>
        </w:rPr>
        <w:t>Аукциона</w:t>
      </w:r>
      <w:r>
        <w:rPr>
          <w:rFonts w:ascii="Times New Roman" w:hAnsi="Times New Roman"/>
          <w:sz w:val="26"/>
        </w:rPr>
        <w:t xml:space="preserve"> цена </w:t>
      </w:r>
      <w:r>
        <w:rPr>
          <w:rFonts w:ascii="Times New Roman" w:hAnsi="Times New Roman"/>
          <w:sz w:val="26"/>
        </w:rPr>
        <w:t>Имущества</w:t>
      </w:r>
      <w:r>
        <w:rPr>
          <w:rFonts w:ascii="Times New Roman" w:hAnsi="Times New Roman"/>
          <w:sz w:val="26"/>
        </w:rPr>
        <w:t xml:space="preserve"> составляет ____________ (__________________________) рублей</w:t>
      </w:r>
      <w:r>
        <w:rPr>
          <w:rFonts w:ascii="Times New Roman" w:hAnsi="Times New Roman"/>
          <w:sz w:val="26"/>
        </w:rPr>
        <w:t xml:space="preserve"> с учетом НДС.</w:t>
      </w:r>
    </w:p>
    <w:p w14:paraId="33000000">
      <w:pPr>
        <w:widowControl w:val="0"/>
        <w:ind w:firstLine="720" w:left="0"/>
        <w:jc w:val="both"/>
        <w:rPr>
          <w:rFonts w:ascii="Times New Roman" w:hAnsi="Times New Roman"/>
          <w:sz w:val="26"/>
        </w:rPr>
      </w:pPr>
      <w:r>
        <w:rPr>
          <w:rFonts w:ascii="Times New Roman" w:hAnsi="Times New Roman"/>
          <w:sz w:val="26"/>
        </w:rPr>
        <w:t>3.1.1. НДС составляет ___________ (___________) руб.</w:t>
      </w:r>
    </w:p>
    <w:p w14:paraId="34000000">
      <w:pPr>
        <w:widowControl w:val="0"/>
        <w:ind w:firstLine="720" w:left="0"/>
        <w:jc w:val="both"/>
        <w:rPr>
          <w:rFonts w:ascii="Times New Roman" w:hAnsi="Times New Roman"/>
          <w:sz w:val="26"/>
        </w:rPr>
      </w:pPr>
      <w:r>
        <w:rPr>
          <w:rFonts w:ascii="Times New Roman" w:hAnsi="Times New Roman"/>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35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30 (тридцать) рабочих дней с даты заключения настоящего Договора в следующем порядке:</w:t>
      </w:r>
    </w:p>
    <w:p w14:paraId="36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3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3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39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3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3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3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3F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4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4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4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4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4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4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46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47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4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4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4A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4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4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4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4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4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50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5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5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5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5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5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5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57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58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59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5A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5B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5C000000">
      <w:pPr>
        <w:widowControl w:val="0"/>
        <w:ind w:firstLine="720" w:left="0"/>
        <w:jc w:val="both"/>
        <w:rPr>
          <w:rFonts w:ascii="Times New Roman" w:hAnsi="Times New Roman"/>
          <w:sz w:val="26"/>
        </w:rPr>
      </w:pPr>
    </w:p>
    <w:p w14:paraId="5D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 xml:space="preserve">4. Переход права собственности на </w:t>
      </w:r>
      <w:r>
        <w:rPr>
          <w:rFonts w:ascii="Times New Roman" w:hAnsi="Times New Roman"/>
          <w:b w:val="1"/>
          <w:color w:val="000000"/>
          <w:sz w:val="26"/>
        </w:rPr>
        <w:t>Имущество</w:t>
      </w:r>
    </w:p>
    <w:p w14:paraId="5E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5F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60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61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6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63000000">
      <w:pPr>
        <w:widowControl w:val="0"/>
        <w:ind w:firstLine="720" w:lef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64000000">
      <w:pPr>
        <w:widowControl w:val="0"/>
        <w:ind/>
        <w:jc w:val="center"/>
        <w:rPr>
          <w:rFonts w:ascii="Times New Roman" w:hAnsi="Times New Roman"/>
          <w:sz w:val="26"/>
        </w:rPr>
      </w:pPr>
    </w:p>
    <w:p w14:paraId="65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5. Ответственность Сторон</w:t>
      </w:r>
    </w:p>
    <w:p w14:paraId="66000000">
      <w:pPr>
        <w:widowControl w:val="0"/>
        <w:ind w:firstLine="720" w:left="0"/>
        <w:jc w:val="both"/>
        <w:rPr>
          <w:rFonts w:ascii="Times New Roman" w:hAnsi="Times New Roman"/>
          <w:sz w:val="26"/>
        </w:rPr>
      </w:pPr>
      <w:r>
        <w:rPr>
          <w:rFonts w:ascii="Times New Roman" w:hAnsi="Times New Roman"/>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67000000">
      <w:pPr>
        <w:widowControl w:val="0"/>
        <w:ind w:firstLine="720" w:left="0"/>
        <w:jc w:val="both"/>
        <w:rPr>
          <w:rFonts w:ascii="Times New Roman" w:hAnsi="Times New Roman"/>
          <w:sz w:val="26"/>
        </w:rPr>
      </w:pPr>
      <w:r>
        <w:rPr>
          <w:rFonts w:ascii="Times New Roman" w:hAnsi="Times New Roman"/>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68000000">
      <w:pPr>
        <w:widowControl w:val="0"/>
        <w:ind w:firstLine="720" w:left="0"/>
        <w:jc w:val="both"/>
        <w:rPr>
          <w:rFonts w:ascii="Times New Roman" w:hAnsi="Times New Roman"/>
          <w:sz w:val="26"/>
        </w:rPr>
      </w:pPr>
      <w:r>
        <w:rPr>
          <w:rFonts w:ascii="Times New Roman" w:hAnsi="Times New Roman"/>
          <w:sz w:val="26"/>
        </w:rPr>
        <w:t>- государственным и муниципальным унитарным предприятием, государственным и муниципальным учреждением;</w:t>
      </w:r>
    </w:p>
    <w:p w14:paraId="69000000">
      <w:pPr>
        <w:widowControl w:val="0"/>
        <w:ind w:firstLine="720" w:left="0"/>
        <w:jc w:val="both"/>
        <w:rPr>
          <w:rFonts w:ascii="Times New Roman" w:hAnsi="Times New Roman"/>
          <w:sz w:val="26"/>
        </w:rPr>
      </w:pPr>
      <w:r>
        <w:rPr>
          <w:rFonts w:ascii="Times New Roman" w:hAnsi="Times New Roman"/>
          <w:sz w:val="26"/>
        </w:rPr>
        <w:t>- юридическим лицом, в уставном капитале котор</w:t>
      </w:r>
      <w:r>
        <w:rPr>
          <w:rFonts w:ascii="Times New Roman" w:hAnsi="Times New Roman"/>
          <w:sz w:val="26"/>
        </w:rPr>
        <w:t>ого</w:t>
      </w:r>
      <w:r>
        <w:rPr>
          <w:rFonts w:ascii="Times New Roman" w:hAnsi="Times New Roman"/>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6A000000">
      <w:pPr>
        <w:widowControl w:val="0"/>
        <w:ind w:firstLine="720" w:left="0"/>
        <w:jc w:val="both"/>
        <w:rPr>
          <w:rFonts w:ascii="Times New Roman" w:hAnsi="Times New Roman"/>
          <w:sz w:val="26"/>
        </w:rPr>
      </w:pPr>
      <w:r>
        <w:rPr>
          <w:rFonts w:ascii="Times New Roman" w:hAnsi="Times New Roman"/>
          <w:sz w:val="26"/>
        </w:rPr>
        <w:t>- юридически</w:t>
      </w:r>
      <w:r>
        <w:rPr>
          <w:rFonts w:ascii="Times New Roman" w:hAnsi="Times New Roman"/>
          <w:sz w:val="26"/>
        </w:rPr>
        <w:t>м</w:t>
      </w:r>
      <w:r>
        <w:rPr>
          <w:rFonts w:ascii="Times New Roman" w:hAnsi="Times New Roman"/>
          <w:sz w:val="26"/>
        </w:rPr>
        <w:t xml:space="preserve"> лиц</w:t>
      </w:r>
      <w:r>
        <w:rPr>
          <w:rFonts w:ascii="Times New Roman" w:hAnsi="Times New Roman"/>
          <w:sz w:val="26"/>
        </w:rPr>
        <w:t>ом</w:t>
      </w:r>
      <w:r>
        <w:rPr>
          <w:rFonts w:ascii="Times New Roman" w:hAnsi="Times New Roman"/>
          <w:sz w:val="26"/>
        </w:rPr>
        <w:t>, местом регистрации котор</w:t>
      </w:r>
      <w:r>
        <w:rPr>
          <w:rFonts w:ascii="Times New Roman" w:hAnsi="Times New Roman"/>
          <w:sz w:val="26"/>
        </w:rPr>
        <w:t>ого</w:t>
      </w:r>
      <w:r>
        <w:rPr>
          <w:rFonts w:ascii="Times New Roman" w:hAnsi="Times New Roman"/>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6"/>
        </w:rPr>
        <w:t>бенефициарных</w:t>
      </w:r>
      <w:r>
        <w:rPr>
          <w:rFonts w:ascii="Times New Roman" w:hAnsi="Times New Roman"/>
          <w:sz w:val="26"/>
        </w:rPr>
        <w:t xml:space="preserve"> владельцах и контролирующих лицах в порядке, установленном Правительством Российской Федерации.</w:t>
      </w:r>
    </w:p>
    <w:p w14:paraId="6B000000">
      <w:pPr>
        <w:widowControl w:val="0"/>
        <w:ind w:firstLine="720" w:left="0"/>
        <w:jc w:val="both"/>
        <w:rPr>
          <w:rFonts w:ascii="Times New Roman" w:hAnsi="Times New Roman"/>
          <w:sz w:val="26"/>
        </w:rPr>
      </w:pPr>
      <w:r>
        <w:rPr>
          <w:rFonts w:ascii="Times New Roman" w:hAnsi="Times New Roman"/>
          <w:sz w:val="26"/>
        </w:rPr>
        <w:t xml:space="preserve">5.2. За нарушение сроков внесения денежных средств в счет оплаты </w:t>
      </w:r>
      <w:r>
        <w:rPr>
          <w:rFonts w:ascii="Times New Roman" w:hAnsi="Times New Roman"/>
          <w:sz w:val="26"/>
        </w:rPr>
        <w:t xml:space="preserve">Имущества </w:t>
      </w:r>
      <w:r>
        <w:rPr>
          <w:rFonts w:ascii="Times New Roman" w:hAnsi="Times New Roman"/>
          <w:sz w:val="26"/>
        </w:rPr>
        <w:t>в порядке, предусмотренном пунктом 3.</w:t>
      </w:r>
      <w:r>
        <w:rPr>
          <w:rFonts w:ascii="Times New Roman" w:hAnsi="Times New Roman"/>
          <w:sz w:val="26"/>
        </w:rPr>
        <w:t>3</w:t>
      </w:r>
      <w:r>
        <w:rPr>
          <w:rFonts w:ascii="Times New Roman" w:hAnsi="Times New Roman"/>
          <w:sz w:val="26"/>
        </w:rPr>
        <w:t xml:space="preserve">. настоящего Договора, Покупатель уплачивает Продавцу </w:t>
      </w:r>
      <w:r>
        <w:rPr>
          <w:rFonts w:ascii="Times New Roman" w:hAnsi="Times New Roman"/>
          <w:sz w:val="26"/>
        </w:rPr>
        <w:t>пеню в размере 0,2</w:t>
      </w:r>
      <w:r>
        <w:rPr>
          <w:rFonts w:ascii="Times New Roman" w:hAnsi="Times New Roman"/>
          <w:sz w:val="26"/>
        </w:rPr>
        <w:t xml:space="preserve"> % от невнесенной суммы за каждый календарный день просрочки по следующим реквизитам:</w:t>
      </w:r>
    </w:p>
    <w:p w14:paraId="6C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6D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6E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6F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получателя</w:t>
      </w:r>
      <w:r>
        <w:rPr>
          <w:rFonts w:ascii="Times New Roman" w:hAnsi="Times New Roman"/>
          <w:sz w:val="26"/>
          <w:u w:val="single"/>
        </w:rPr>
        <w:t>:</w:t>
      </w:r>
      <w:r>
        <w:rPr>
          <w:sz w:val="26"/>
          <w:u w:val="single"/>
        </w:rPr>
        <w:t xml:space="preserve"> ОКЦ № 2 СибГУ Банка России//УФК по Алтайскому краю г Барнаул</w:t>
      </w:r>
      <w:r>
        <w:rPr>
          <w:rFonts w:ascii="Times New Roman" w:hAnsi="Times New Roman"/>
          <w:sz w:val="26"/>
          <w:u w:val="single"/>
        </w:rPr>
        <w:t>;</w:t>
      </w:r>
    </w:p>
    <w:p w14:paraId="70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1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72000000">
      <w:pPr>
        <w:widowControl w:val="0"/>
        <w:ind w:firstLine="720" w:left="0"/>
        <w:jc w:val="both"/>
        <w:rPr>
          <w:rFonts w:ascii="Times New Roman" w:hAnsi="Times New Roman"/>
          <w:sz w:val="26"/>
          <w:highlight w:val="yellow"/>
          <w:u w:val="single"/>
        </w:rPr>
      </w:pPr>
      <w:r>
        <w:rPr>
          <w:rFonts w:ascii="Times New Roman" w:hAnsi="Times New Roman"/>
          <w:sz w:val="26"/>
          <w:u w:val="single"/>
        </w:rPr>
        <w:t>Код ОКТМО: 01701000;</w:t>
      </w:r>
    </w:p>
    <w:p w14:paraId="73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74000000">
      <w:pPr>
        <w:widowControl w:val="0"/>
        <w:ind w:firstLine="720" w:left="0"/>
        <w:jc w:val="both"/>
        <w:rPr>
          <w:rFonts w:ascii="Times New Roman" w:hAnsi="Times New Roman"/>
          <w:sz w:val="26"/>
          <w:u w:val="single"/>
        </w:rPr>
      </w:pPr>
      <w:r>
        <w:rPr>
          <w:rFonts w:ascii="Times New Roman" w:hAnsi="Times New Roman"/>
          <w:sz w:val="26"/>
          <w:u w:val="single"/>
        </w:rPr>
        <w:t xml:space="preserve">Назначение платежа: </w:t>
      </w:r>
      <w:r>
        <w:rPr>
          <w:rFonts w:ascii="Times New Roman" w:hAnsi="Times New Roman"/>
          <w:sz w:val="26"/>
          <w:u w:val="single"/>
        </w:rPr>
        <w:t xml:space="preserve">«  </w:t>
      </w:r>
      <w:r>
        <w:rPr>
          <w:rFonts w:ascii="Times New Roman" w:hAnsi="Times New Roman"/>
          <w:sz w:val="26"/>
          <w:u w:val="single"/>
        </w:rPr>
        <w:t xml:space="preserve">             ».</w:t>
      </w:r>
    </w:p>
    <w:p w14:paraId="75000000">
      <w:pPr>
        <w:widowControl w:val="0"/>
        <w:ind w:firstLine="720" w:left="0"/>
        <w:jc w:val="both"/>
        <w:rPr>
          <w:rFonts w:ascii="Times New Roman" w:hAnsi="Times New Roman"/>
          <w:sz w:val="26"/>
        </w:rPr>
      </w:pPr>
      <w:r>
        <w:rPr>
          <w:rFonts w:ascii="Times New Roman" w:hAnsi="Times New Roman"/>
          <w:sz w:val="26"/>
        </w:rPr>
        <w:t xml:space="preserve">5.3. </w:t>
      </w:r>
      <w:r>
        <w:rPr>
          <w:rFonts w:ascii="Times New Roman" w:hAnsi="Times New Roman"/>
          <w:sz w:val="26"/>
        </w:rPr>
        <w:t xml:space="preserve">Просрочка внесения денежных средств в счет оплаты </w:t>
      </w:r>
      <w:r>
        <w:rPr>
          <w:rFonts w:ascii="Times New Roman" w:hAnsi="Times New Roman"/>
          <w:sz w:val="26"/>
        </w:rPr>
        <w:t>Имущества</w:t>
      </w:r>
      <w:r>
        <w:rPr>
          <w:rFonts w:ascii="Times New Roman" w:hAnsi="Times New Roman"/>
          <w:sz w:val="26"/>
        </w:rPr>
        <w:t xml:space="preserve"> в сумме и сроки, указанные в </w:t>
      </w:r>
      <w:r>
        <w:rPr>
          <w:rFonts w:ascii="Times New Roman" w:hAnsi="Times New Roman"/>
          <w:sz w:val="26"/>
        </w:rPr>
        <w:t>пункте</w:t>
      </w:r>
      <w:r>
        <w:rPr>
          <w:rFonts w:ascii="Times New Roman" w:hAnsi="Times New Roman"/>
          <w:sz w:val="26"/>
        </w:rPr>
        <w:t xml:space="preserve"> 3 настоящего Договора, не может составлять более пяти календарных дней (далее – «допустимая просрочка»). Просрочка свыше пяти календарных дней считается отказом Покупателя от исполнения обязательств по оплате </w:t>
      </w:r>
      <w:r>
        <w:rPr>
          <w:rFonts w:ascii="Times New Roman" w:hAnsi="Times New Roman"/>
          <w:sz w:val="26"/>
        </w:rPr>
        <w:t>Имущества</w:t>
      </w:r>
      <w:r>
        <w:rPr>
          <w:rFonts w:ascii="Times New Roman" w:hAnsi="Times New Roman"/>
          <w:sz w:val="26"/>
        </w:rPr>
        <w:t xml:space="preserve">, установленных </w:t>
      </w:r>
      <w:r>
        <w:rPr>
          <w:rFonts w:ascii="Times New Roman" w:hAnsi="Times New Roman"/>
          <w:sz w:val="26"/>
        </w:rPr>
        <w:t>пункте</w:t>
      </w:r>
      <w:r>
        <w:rPr>
          <w:rFonts w:ascii="Times New Roman" w:hAnsi="Times New Roman"/>
          <w:sz w:val="26"/>
        </w:rPr>
        <w:t xml:space="preserve"> 3 настоящего Договора. </w:t>
      </w:r>
      <w:r>
        <w:rPr>
          <w:rFonts w:ascii="Times New Roman" w:hAnsi="Times New Roman"/>
          <w:sz w:val="26"/>
        </w:rPr>
        <w:t xml:space="preserve">При этом, внесенный Покупателем задаток не возвращается. </w:t>
      </w:r>
      <w:r>
        <w:rPr>
          <w:rFonts w:ascii="Times New Roman" w:hAnsi="Times New Roman"/>
          <w:sz w:val="26"/>
        </w:rPr>
        <w:t xml:space="preserve">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rFonts w:ascii="Times New Roman" w:hAnsi="Times New Roman"/>
          <w:sz w:val="26"/>
        </w:rPr>
        <w:t>Имущества</w:t>
      </w:r>
      <w:r>
        <w:rPr>
          <w:rFonts w:ascii="Times New Roman" w:hAnsi="Times New Roman"/>
          <w:sz w:val="26"/>
        </w:rPr>
        <w:t>.</w:t>
      </w:r>
    </w:p>
    <w:p w14:paraId="76000000">
      <w:pPr>
        <w:widowControl w:val="0"/>
        <w:ind w:firstLine="720" w:left="0"/>
        <w:jc w:val="both"/>
        <w:rPr>
          <w:rFonts w:ascii="Times New Roman" w:hAnsi="Times New Roman"/>
          <w:sz w:val="26"/>
        </w:rPr>
      </w:pPr>
      <w:r>
        <w:rPr>
          <w:rFonts w:ascii="Times New Roman" w:hAnsi="Times New Roman"/>
          <w:sz w:val="26"/>
        </w:rPr>
        <w:t>5.4</w:t>
      </w:r>
      <w:r>
        <w:rPr>
          <w:rFonts w:ascii="Times New Roman" w:hAnsi="Times New Roman"/>
          <w:sz w:val="26"/>
        </w:rPr>
        <w:t xml:space="preserve">. </w:t>
      </w:r>
      <w:r>
        <w:rPr>
          <w:rFonts w:ascii="Times New Roman" w:hAnsi="Times New Roman"/>
          <w:sz w:val="26"/>
        </w:rPr>
        <w:t>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14:paraId="77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78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79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7A000000">
      <w:pPr>
        <w:widowControl w:val="0"/>
        <w:ind w:firstLine="720" w:left="0"/>
        <w:jc w:val="both"/>
        <w:rPr>
          <w:rFonts w:ascii="Times New Roman" w:hAnsi="Times New Roman"/>
          <w:sz w:val="26"/>
          <w:u w:val="single"/>
        </w:rPr>
      </w:pPr>
      <w:r>
        <w:rPr>
          <w:sz w:val="26"/>
          <w:u w:val="single"/>
        </w:rPr>
        <w:t xml:space="preserve">Банк получателя: ОКЦ № 2 СибГУ Банка России//УФК по Алтайскому краю г Барнаул </w:t>
      </w:r>
      <w:r>
        <w:rPr>
          <w:rFonts w:ascii="Times New Roman" w:hAnsi="Times New Roman"/>
          <w:sz w:val="26"/>
          <w:u w:val="single"/>
        </w:rPr>
        <w:t>;</w:t>
      </w:r>
    </w:p>
    <w:p w14:paraId="7B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C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7D000000">
      <w:pPr>
        <w:widowControl w:val="0"/>
        <w:ind w:firstLine="720" w:left="0"/>
        <w:jc w:val="both"/>
        <w:rPr>
          <w:rFonts w:ascii="Times New Roman" w:hAnsi="Times New Roman"/>
          <w:sz w:val="26"/>
          <w:u w:val="single"/>
        </w:rPr>
      </w:pPr>
      <w:r>
        <w:rPr>
          <w:rFonts w:ascii="Times New Roman" w:hAnsi="Times New Roman"/>
          <w:sz w:val="26"/>
          <w:u w:val="single"/>
        </w:rPr>
        <w:t>Код ОКТМО: 01701000;</w:t>
      </w:r>
    </w:p>
    <w:p w14:paraId="7E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7F000000">
      <w:pPr>
        <w:widowControl w:val="0"/>
        <w:ind w:firstLine="720" w:left="0"/>
        <w:jc w:val="both"/>
        <w:rPr>
          <w:rFonts w:ascii="Times New Roman" w:hAnsi="Times New Roman"/>
          <w:sz w:val="26"/>
          <w:u w:val="single"/>
        </w:rPr>
      </w:pPr>
      <w:r>
        <w:rPr>
          <w:rFonts w:ascii="Times New Roman" w:hAnsi="Times New Roman"/>
          <w:sz w:val="26"/>
        </w:rPr>
        <w:t>Расторжение договора не освобождает Покупателя от уплаты штрафа.</w:t>
      </w:r>
    </w:p>
    <w:p w14:paraId="80000000">
      <w:pPr>
        <w:widowControl w:val="0"/>
        <w:ind w:firstLine="720" w:left="0"/>
        <w:jc w:val="both"/>
        <w:rPr>
          <w:rFonts w:ascii="Times New Roman" w:hAnsi="Times New Roman"/>
          <w:sz w:val="26"/>
        </w:rPr>
      </w:pPr>
      <w:r>
        <w:rPr>
          <w:rFonts w:ascii="Times New Roman" w:hAnsi="Times New Roman"/>
          <w:sz w:val="26"/>
        </w:rPr>
        <w:t>5.</w:t>
      </w:r>
      <w:r>
        <w:rPr>
          <w:rFonts w:ascii="Times New Roman" w:hAnsi="Times New Roman"/>
          <w:sz w:val="26"/>
        </w:rPr>
        <w:t>5</w:t>
      </w:r>
      <w:r>
        <w:rPr>
          <w:rFonts w:ascii="Times New Roman" w:hAnsi="Times New Roman"/>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rFonts w:ascii="Times New Roman" w:hAnsi="Times New Roman"/>
          <w:sz w:val="26"/>
        </w:rPr>
        <w:t xml:space="preserve"> оплаты труда, установленных на дату уплаты штрафа.</w:t>
      </w:r>
    </w:p>
    <w:p w14:paraId="81000000">
      <w:pPr>
        <w:widowControl w:val="0"/>
        <w:ind/>
        <w:jc w:val="center"/>
        <w:rPr>
          <w:rFonts w:ascii="Times New Roman" w:hAnsi="Times New Roman"/>
          <w:b w:val="1"/>
          <w:sz w:val="26"/>
        </w:rPr>
      </w:pPr>
    </w:p>
    <w:p w14:paraId="82000000">
      <w:pPr>
        <w:widowControl w:val="0"/>
        <w:ind/>
        <w:jc w:val="center"/>
        <w:rPr>
          <w:rFonts w:ascii="Times New Roman" w:hAnsi="Times New Roman"/>
          <w:b w:val="1"/>
          <w:sz w:val="26"/>
        </w:rPr>
      </w:pPr>
      <w:r>
        <w:rPr>
          <w:rFonts w:ascii="Times New Roman" w:hAnsi="Times New Roman"/>
          <w:b w:val="1"/>
          <w:sz w:val="26"/>
        </w:rPr>
        <w:t>6. Заключительные положения</w:t>
      </w:r>
    </w:p>
    <w:p w14:paraId="83000000">
      <w:pPr>
        <w:widowControl w:val="0"/>
        <w:ind w:firstLine="720" w:left="0"/>
        <w:jc w:val="both"/>
        <w:rPr>
          <w:rFonts w:ascii="Times New Roman" w:hAnsi="Times New Roman"/>
          <w:sz w:val="26"/>
        </w:rPr>
      </w:pPr>
      <w:r>
        <w:rPr>
          <w:rFonts w:ascii="Times New Roman" w:hAnsi="Times New Roman"/>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84000000">
      <w:pPr>
        <w:widowControl w:val="0"/>
        <w:ind w:firstLine="720" w:left="0"/>
        <w:jc w:val="both"/>
        <w:rPr>
          <w:rFonts w:ascii="Times New Roman" w:hAnsi="Times New Roman"/>
          <w:sz w:val="26"/>
        </w:rPr>
      </w:pPr>
      <w:r>
        <w:rPr>
          <w:rFonts w:ascii="Times New Roman" w:hAnsi="Times New Roman"/>
          <w:sz w:val="26"/>
        </w:rPr>
        <w:t>6.2. Настоящий Договор вступает в силу с момента его подписания и прекращает свое действие:</w:t>
      </w:r>
    </w:p>
    <w:p w14:paraId="85000000">
      <w:pPr>
        <w:widowControl w:val="0"/>
        <w:numPr>
          <w:ilvl w:val="0"/>
          <w:numId w:val="0"/>
        </w:numPr>
        <w:ind w:firstLine="720" w:left="0"/>
        <w:jc w:val="both"/>
        <w:rPr>
          <w:rFonts w:ascii="Times New Roman" w:hAnsi="Times New Roman"/>
          <w:sz w:val="26"/>
        </w:rPr>
      </w:pPr>
      <w:r>
        <w:rPr>
          <w:rFonts w:ascii="Times New Roman" w:hAnsi="Times New Roman"/>
          <w:sz w:val="26"/>
        </w:rPr>
        <w:t>- исполнением Сторонами своих обязательств по настоящему Договору;</w:t>
      </w:r>
    </w:p>
    <w:p w14:paraId="86000000">
      <w:pPr>
        <w:widowControl w:val="0"/>
        <w:numPr>
          <w:ilvl w:val="0"/>
          <w:numId w:val="0"/>
        </w:numPr>
        <w:ind w:firstLine="720" w:left="0"/>
        <w:jc w:val="both"/>
        <w:rPr>
          <w:rFonts w:ascii="Times New Roman" w:hAnsi="Times New Roman"/>
          <w:sz w:val="26"/>
        </w:rPr>
      </w:pPr>
      <w:r>
        <w:rPr>
          <w:rFonts w:ascii="Times New Roman" w:hAnsi="Times New Roman"/>
          <w:sz w:val="26"/>
        </w:rPr>
        <w:t>- в</w:t>
      </w:r>
      <w:r>
        <w:rPr>
          <w:rFonts w:ascii="Times New Roman" w:hAnsi="Times New Roman"/>
          <w:sz w:val="26"/>
        </w:rPr>
        <w:t xml:space="preserve"> случае, предусмотренном </w:t>
      </w:r>
      <w:r>
        <w:rPr>
          <w:rFonts w:ascii="Times New Roman" w:hAnsi="Times New Roman"/>
          <w:sz w:val="26"/>
        </w:rPr>
        <w:t>пунктом</w:t>
      </w:r>
      <w:r>
        <w:rPr>
          <w:rFonts w:ascii="Times New Roman" w:hAnsi="Times New Roman"/>
          <w:sz w:val="26"/>
        </w:rPr>
        <w:t xml:space="preserve"> 5</w:t>
      </w:r>
      <w:r>
        <w:rPr>
          <w:rFonts w:ascii="Times New Roman" w:hAnsi="Times New Roman"/>
          <w:sz w:val="26"/>
        </w:rPr>
        <w:t>.3</w:t>
      </w:r>
      <w:r>
        <w:rPr>
          <w:rFonts w:ascii="Times New Roman" w:hAnsi="Times New Roman"/>
          <w:sz w:val="26"/>
        </w:rPr>
        <w:t xml:space="preserve"> настоящего Договора;</w:t>
      </w:r>
    </w:p>
    <w:p w14:paraId="87000000">
      <w:pPr>
        <w:widowControl w:val="0"/>
        <w:numPr>
          <w:ilvl w:val="0"/>
          <w:numId w:val="0"/>
        </w:numPr>
        <w:ind w:firstLine="720" w:left="0"/>
        <w:jc w:val="both"/>
        <w:rPr>
          <w:rFonts w:ascii="Times New Roman" w:hAnsi="Times New Roman"/>
          <w:sz w:val="26"/>
        </w:rPr>
      </w:pPr>
      <w:r>
        <w:rPr>
          <w:rFonts w:ascii="Times New Roman" w:hAnsi="Times New Roman"/>
          <w:sz w:val="26"/>
        </w:rPr>
        <w:t>- по иным основаниям, предусмотренным действующим законодательством.</w:t>
      </w:r>
    </w:p>
    <w:p w14:paraId="88000000">
      <w:pPr>
        <w:widowControl w:val="0"/>
        <w:ind w:firstLine="720" w:left="0"/>
        <w:jc w:val="both"/>
        <w:rPr>
          <w:rFonts w:ascii="Times New Roman" w:hAnsi="Times New Roman"/>
          <w:sz w:val="26"/>
        </w:rPr>
      </w:pPr>
      <w:r>
        <w:rPr>
          <w:rFonts w:ascii="Times New Roman" w:hAnsi="Times New Roman"/>
          <w:sz w:val="26"/>
        </w:rPr>
        <w:t xml:space="preserve">6.3. </w:t>
      </w:r>
      <w:r>
        <w:rPr>
          <w:rFonts w:ascii="Times New Roman" w:hAnsi="Times New Roman"/>
          <w:sz w:val="26"/>
        </w:rPr>
        <w:t>В</w:t>
      </w:r>
      <w:r>
        <w:rPr>
          <w:rFonts w:ascii="Times New Roman" w:hAnsi="Times New Roman"/>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89000000">
      <w:pPr>
        <w:widowControl w:val="0"/>
        <w:ind w:firstLine="720" w:left="0"/>
        <w:jc w:val="both"/>
        <w:rPr>
          <w:rFonts w:ascii="Times New Roman" w:hAnsi="Times New Roman"/>
          <w:sz w:val="26"/>
        </w:rPr>
      </w:pPr>
      <w:r>
        <w:rPr>
          <w:rFonts w:ascii="Times New Roman" w:hAnsi="Times New Roman"/>
          <w:sz w:val="26"/>
        </w:rPr>
        <w:t xml:space="preserve">6.4. </w:t>
      </w:r>
      <w:r>
        <w:rPr>
          <w:rFonts w:ascii="Times New Roman" w:hAnsi="Times New Roman"/>
          <w:sz w:val="26"/>
        </w:rPr>
        <w:t xml:space="preserve">Настоящий Договор </w:t>
      </w:r>
      <w:r>
        <w:rPr>
          <w:rFonts w:ascii="Times New Roman" w:hAnsi="Times New Roman"/>
          <w:sz w:val="26"/>
        </w:rPr>
        <w:t>заключается</w:t>
      </w:r>
      <w:r>
        <w:rPr>
          <w:rFonts w:ascii="Times New Roman" w:hAnsi="Times New Roman"/>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8A000000">
      <w:pPr>
        <w:widowControl w:val="0"/>
        <w:ind w:firstLine="720" w:left="0"/>
        <w:jc w:val="both"/>
        <w:rPr>
          <w:rFonts w:ascii="Times New Roman" w:hAnsi="Times New Roman"/>
          <w:b w:val="1"/>
          <w:sz w:val="26"/>
        </w:rPr>
      </w:pPr>
    </w:p>
    <w:p w14:paraId="8B000000">
      <w:pPr>
        <w:widowControl w:val="0"/>
        <w:ind/>
        <w:jc w:val="center"/>
        <w:rPr>
          <w:rFonts w:ascii="Times New Roman" w:hAnsi="Times New Roman"/>
          <w:b w:val="1"/>
          <w:sz w:val="26"/>
        </w:rPr>
      </w:pPr>
    </w:p>
    <w:p w14:paraId="8C000000">
      <w:pPr>
        <w:widowControl w:val="0"/>
        <w:ind/>
        <w:jc w:val="center"/>
        <w:rPr>
          <w:rFonts w:ascii="Times New Roman" w:hAnsi="Times New Roman"/>
          <w:b w:val="1"/>
          <w:sz w:val="26"/>
        </w:rPr>
      </w:pPr>
      <w:r>
        <w:rPr>
          <w:rFonts w:ascii="Times New Roman" w:hAnsi="Times New Roman"/>
          <w:b w:val="1"/>
          <w:sz w:val="26"/>
        </w:rPr>
        <w:t>7. Реквизиты Сторон</w:t>
      </w:r>
    </w:p>
    <w:p w14:paraId="8D000000">
      <w:pPr>
        <w:widowControl w:val="0"/>
        <w:tabs>
          <w:tab w:leader="none" w:pos="0" w:val="left"/>
        </w:tabs>
        <w:ind/>
        <w:jc w:val="both"/>
        <w:rPr>
          <w:rFonts w:ascii="Times New Roman" w:hAnsi="Times New Roman"/>
          <w:b w:val="1"/>
          <w:sz w:val="26"/>
        </w:rPr>
      </w:pPr>
    </w:p>
    <w:tbl>
      <w:tblPr>
        <w:tblStyle w:val="Style_5"/>
        <w:tblW w:type="auto" w:w="0"/>
        <w:tblInd w:type="dxa" w:w="108"/>
        <w:tblLayout w:type="fixed"/>
        <w:tblCellMar>
          <w:top w:type="dxa" w:w="0"/>
          <w:left w:type="dxa" w:w="108"/>
          <w:bottom w:type="dxa" w:w="0"/>
          <w:right w:type="dxa" w:w="108"/>
        </w:tblCellMar>
      </w:tblPr>
      <w:tblGrid>
        <w:gridCol w:w="4536"/>
        <w:gridCol w:w="4820"/>
      </w:tblGrid>
      <w:tr>
        <w:tc>
          <w:tcPr>
            <w:tcW w:type="dxa" w:w="4536"/>
            <w:tcMar>
              <w:top w:type="dxa" w:w="0"/>
              <w:left w:type="dxa" w:w="108"/>
              <w:bottom w:type="dxa" w:w="0"/>
              <w:right w:type="dxa" w:w="108"/>
            </w:tcMar>
          </w:tcPr>
          <w:p w14:paraId="8E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Продавец</w:t>
            </w:r>
          </w:p>
          <w:p w14:paraId="8F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w:t>
            </w:r>
          </w:p>
        </w:tc>
        <w:tc>
          <w:tcPr>
            <w:tcW w:type="dxa" w:w="4820"/>
            <w:tcMar>
              <w:top w:type="dxa" w:w="0"/>
              <w:left w:type="dxa" w:w="108"/>
              <w:bottom w:type="dxa" w:w="0"/>
              <w:right w:type="dxa" w:w="108"/>
            </w:tcMar>
          </w:tcPr>
          <w:p w14:paraId="90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w:t>
            </w:r>
            <w:r>
              <w:rPr>
                <w:rFonts w:ascii="Times New Roman" w:hAnsi="Times New Roman"/>
                <w:b w:val="1"/>
                <w:sz w:val="26"/>
              </w:rPr>
              <w:t>окупатель</w:t>
            </w:r>
          </w:p>
          <w:p w14:paraId="91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_______________________________</w:t>
            </w:r>
          </w:p>
        </w:tc>
      </w:tr>
      <w:tr>
        <w:trPr>
          <w:trHeight w:hRule="atLeast" w:val="699"/>
        </w:trPr>
        <w:tc>
          <w:tcPr>
            <w:tcW w:type="dxa" w:w="4536"/>
            <w:tcMar>
              <w:top w:type="dxa" w:w="0"/>
              <w:left w:type="dxa" w:w="108"/>
              <w:bottom w:type="dxa" w:w="0"/>
              <w:right w:type="dxa" w:w="108"/>
            </w:tcMar>
          </w:tcPr>
          <w:p w14:paraId="92000000">
            <w:pPr>
              <w:widowControl w:val="0"/>
              <w:ind/>
              <w:jc w:val="both"/>
              <w:rPr>
                <w:rFonts w:ascii="Times New Roman" w:hAnsi="Times New Roman"/>
                <w:sz w:val="26"/>
              </w:rPr>
            </w:pPr>
          </w:p>
        </w:tc>
        <w:tc>
          <w:tcPr>
            <w:tcW w:type="dxa" w:w="4820"/>
            <w:tcMar>
              <w:top w:type="dxa" w:w="0"/>
              <w:left w:type="dxa" w:w="108"/>
              <w:bottom w:type="dxa" w:w="0"/>
              <w:right w:type="dxa" w:w="108"/>
            </w:tcMar>
          </w:tcPr>
          <w:p w14:paraId="93000000">
            <w:pPr>
              <w:widowControl w:val="0"/>
              <w:ind/>
              <w:jc w:val="both"/>
              <w:rPr>
                <w:rFonts w:ascii="Times New Roman" w:hAnsi="Times New Roman"/>
                <w:b w:val="1"/>
                <w:sz w:val="26"/>
              </w:rPr>
            </w:pPr>
          </w:p>
        </w:tc>
      </w:tr>
    </w:tbl>
    <w:p w14:paraId="94000000">
      <w:pPr>
        <w:widowControl w:val="0"/>
        <w:spacing w:after="120" w:before="120"/>
        <w:ind/>
        <w:jc w:val="center"/>
        <w:outlineLvl w:val="1"/>
        <w:rPr>
          <w:rFonts w:ascii="Times New Roman" w:hAnsi="Times New Roman"/>
          <w:b w:val="1"/>
          <w:sz w:val="26"/>
        </w:rPr>
      </w:pPr>
      <w:r>
        <w:rPr>
          <w:rFonts w:ascii="Times New Roman" w:hAnsi="Times New Roman"/>
          <w:b w:val="1"/>
          <w:sz w:val="26"/>
        </w:rPr>
        <w:t>Подписи</w:t>
      </w:r>
      <w:r>
        <w:rPr>
          <w:rFonts w:ascii="Times New Roman" w:hAnsi="Times New Roman"/>
          <w:b w:val="1"/>
          <w:sz w:val="26"/>
        </w:rPr>
        <w:t xml:space="preserve"> </w:t>
      </w:r>
      <w:r>
        <w:rPr>
          <w:rFonts w:ascii="Times New Roman" w:hAnsi="Times New Roman"/>
          <w:b w:val="1"/>
          <w:sz w:val="26"/>
        </w:rPr>
        <w:t>Сторон</w:t>
      </w:r>
    </w:p>
    <w:p w14:paraId="95000000">
      <w:pPr>
        <w:widowControl w:val="0"/>
        <w:ind/>
        <w:jc w:val="center"/>
        <w:rPr>
          <w:rFonts w:ascii="Times New Roman" w:hAnsi="Times New Roman"/>
          <w:b w:val="1"/>
          <w:sz w:val="26"/>
        </w:rPr>
      </w:pPr>
      <w:r>
        <w:rPr>
          <w:rFonts w:ascii="Times New Roman" w:hAnsi="Times New Roman"/>
          <w:b w:val="1"/>
          <w:sz w:val="26"/>
        </w:rPr>
        <w:t>Продавец                                                  Покупатель</w:t>
      </w:r>
    </w:p>
    <w:p w14:paraId="96000000">
      <w:pPr>
        <w:widowControl w:val="0"/>
        <w:ind w:hanging="284" w:left="284"/>
        <w:jc w:val="both"/>
        <w:rPr>
          <w:rFonts w:ascii="Times New Roman" w:hAnsi="Times New Roman"/>
          <w:sz w:val="26"/>
        </w:rPr>
      </w:pPr>
    </w:p>
    <w:p w14:paraId="97000000">
      <w:pPr>
        <w:widowControl w:val="0"/>
        <w:ind w:hanging="284" w:left="284"/>
        <w:jc w:val="both"/>
        <w:rPr>
          <w:rFonts w:ascii="Times New Roman" w:hAnsi="Times New Roman"/>
          <w:sz w:val="26"/>
        </w:rPr>
      </w:pPr>
    </w:p>
    <w:p w14:paraId="98000000">
      <w:pPr>
        <w:widowControl w:val="0"/>
        <w:ind w:hanging="284" w:left="284"/>
        <w:jc w:val="both"/>
        <w:rPr>
          <w:sz w:val="26"/>
        </w:rPr>
      </w:pPr>
      <w:r>
        <w:rPr>
          <w:rFonts w:ascii="Times New Roman" w:hAnsi="Times New Roman"/>
          <w:sz w:val="26"/>
        </w:rPr>
        <w:t>___________ (________________)                              _________</w:t>
      </w:r>
      <w:r>
        <w:rPr>
          <w:sz w:val="26"/>
        </w:rPr>
        <w:t>__ (_______________)</w:t>
      </w:r>
    </w:p>
    <w:sectPr>
      <w:headerReference r:id="rId1" w:type="default"/>
      <w:pgSz w:h="16838" w:orient="portrait" w:w="11906"/>
      <w:pgMar w:bottom="1135" w:footer="720" w:gutter="0" w:header="720" w:left="1134"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6"/>
      <w:lvlText w:val="%1."/>
      <w:lvlJc w:val="left"/>
      <w:pPr>
        <w:widowControl w:val="0"/>
        <w:tabs>
          <w:tab w:leader="none" w:pos="720" w:val="left"/>
        </w:tabs>
        <w:ind w:firstLine="0" w:left="0"/>
      </w:pPr>
      <w:rPr>
        <w:spacing w:val="0"/>
      </w:rPr>
    </w:lvl>
  </w:abstractNum>
  <w:abstractNum w:abstractNumId="1">
    <w:lvl w:ilvl="0">
      <w:start w:val="3"/>
      <w:numFmt w:val="upperRoman"/>
      <w:pStyle w:val="Style_47"/>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6" w:type="paragraph">
    <w:name w:val="toc 2"/>
    <w:next w:val="Style_2"/>
    <w:link w:val="Style_6_ch"/>
    <w:uiPriority w:val="39"/>
    <w:pPr>
      <w:widowControl w:val="0"/>
      <w:ind w:firstLine="0" w:left="200"/>
      <w:jc w:val="left"/>
    </w:pPr>
    <w:rPr>
      <w:rFonts w:ascii="XO Thames" w:hAnsi="XO Thames"/>
      <w:sz w:val="28"/>
    </w:rPr>
  </w:style>
  <w:style w:styleId="Style_6_ch" w:type="character">
    <w:name w:val="toc 2"/>
    <w:link w:val="Style_6"/>
    <w:rPr>
      <w:rFonts w:ascii="XO Thames" w:hAnsi="XO Thames"/>
      <w:sz w:val="28"/>
    </w:rPr>
  </w:style>
  <w:style w:styleId="Style_7" w:type="paragraph">
    <w:name w:val="toc 4"/>
    <w:next w:val="Style_2"/>
    <w:link w:val="Style_7_ch"/>
    <w:uiPriority w:val="39"/>
    <w:pPr>
      <w:widowControl w:val="0"/>
      <w:ind w:firstLine="0" w:left="600"/>
      <w:jc w:val="left"/>
    </w:pPr>
    <w:rPr>
      <w:rFonts w:ascii="XO Thames" w:hAnsi="XO Thames"/>
      <w:sz w:val="28"/>
    </w:rPr>
  </w:style>
  <w:style w:styleId="Style_7_ch" w:type="character">
    <w:name w:val="toc 4"/>
    <w:link w:val="Style_7"/>
    <w:rPr>
      <w:rFonts w:ascii="XO Thames" w:hAnsi="XO Thames"/>
      <w:sz w:val="28"/>
    </w:rPr>
  </w:style>
  <w:style w:styleId="Style_8" w:type="paragraph">
    <w:name w:val="toc 6"/>
    <w:next w:val="Style_2"/>
    <w:link w:val="Style_8_ch"/>
    <w:uiPriority w:val="39"/>
    <w:pPr>
      <w:widowControl w:val="0"/>
      <w:ind w:firstLine="0" w:left="1000"/>
      <w:jc w:val="left"/>
    </w:pPr>
    <w:rPr>
      <w:rFonts w:ascii="XO Thames" w:hAnsi="XO Thames"/>
      <w:sz w:val="28"/>
    </w:rPr>
  </w:style>
  <w:style w:styleId="Style_8_ch" w:type="character">
    <w:name w:val="toc 6"/>
    <w:link w:val="Style_8"/>
    <w:rPr>
      <w:rFonts w:ascii="XO Thames" w:hAnsi="XO Thames"/>
      <w:sz w:val="28"/>
    </w:rPr>
  </w:style>
  <w:style w:styleId="Style_9" w:type="paragraph">
    <w:name w:val="toc 7"/>
    <w:next w:val="Style_2"/>
    <w:link w:val="Style_9_ch"/>
    <w:uiPriority w:val="39"/>
    <w:pPr>
      <w:widowControl w:val="0"/>
      <w:ind w:firstLine="0" w:left="1200"/>
      <w:jc w:val="left"/>
    </w:pPr>
    <w:rPr>
      <w:rFonts w:ascii="XO Thames" w:hAnsi="XO Thames"/>
      <w:sz w:val="28"/>
    </w:rPr>
  </w:style>
  <w:style w:styleId="Style_9_ch" w:type="character">
    <w:name w:val="toc 7"/>
    <w:link w:val="Style_9"/>
    <w:rPr>
      <w:rFonts w:ascii="XO Thames" w:hAnsi="XO Thames"/>
      <w:sz w:val="28"/>
    </w:rPr>
  </w:style>
  <w:style w:styleId="Style_10" w:type="paragraph">
    <w:name w:val="Знак"/>
    <w:basedOn w:val="Style_2"/>
    <w:link w:val="Style_10_ch"/>
    <w:pPr>
      <w:widowControl w:val="0"/>
      <w:spacing w:after="160" w:line="240" w:lineRule="exact"/>
      <w:ind/>
    </w:pPr>
    <w:rPr>
      <w:sz w:val="24"/>
    </w:rPr>
  </w:style>
  <w:style w:styleId="Style_10_ch" w:type="character">
    <w:name w:val="Знак"/>
    <w:basedOn w:val="Style_2_ch"/>
    <w:link w:val="Style_10"/>
    <w:rPr>
      <w:sz w:val="24"/>
    </w:rPr>
  </w:style>
  <w:style w:styleId="Style_11" w:type="paragraph">
    <w:name w:val="Знак"/>
    <w:basedOn w:val="Style_2"/>
    <w:link w:val="Style_11_ch"/>
    <w:pPr>
      <w:widowControl w:val="0"/>
      <w:spacing w:after="160" w:line="240" w:lineRule="exact"/>
      <w:ind/>
    </w:pPr>
    <w:rPr>
      <w:sz w:val="24"/>
    </w:rPr>
  </w:style>
  <w:style w:styleId="Style_11_ch" w:type="character">
    <w:name w:val="Знак"/>
    <w:basedOn w:val="Style_2_ch"/>
    <w:link w:val="Style_11"/>
    <w:rPr>
      <w:sz w:val="24"/>
    </w:rPr>
  </w:style>
  <w:style w:styleId="Style_12" w:type="paragraph">
    <w:name w:val="Endnote"/>
    <w:link w:val="Style_12_ch"/>
    <w:pPr>
      <w:widowControl w:val="1"/>
      <w:ind w:firstLine="851" w:left="0"/>
      <w:jc w:val="both"/>
    </w:pPr>
    <w:rPr>
      <w:rFonts w:ascii="XO Thames" w:hAnsi="XO Thames"/>
      <w:sz w:val="22"/>
    </w:rPr>
  </w:style>
  <w:style w:styleId="Style_12_ch" w:type="character">
    <w:name w:val="Endnote"/>
    <w:link w:val="Style_12"/>
    <w:rPr>
      <w:rFonts w:ascii="XO Thames" w:hAnsi="XO Thames"/>
      <w:sz w:val="22"/>
    </w:rPr>
  </w:style>
  <w:style w:styleId="Style_13" w:type="paragraph">
    <w:name w:val="heading 3"/>
    <w:basedOn w:val="Style_2"/>
    <w:next w:val="Style_2"/>
    <w:link w:val="Style_13_ch"/>
    <w:uiPriority w:val="9"/>
    <w:qFormat/>
    <w:pPr>
      <w:keepNext w:val="1"/>
      <w:keepLines w:val="1"/>
      <w:widowControl w:val="0"/>
      <w:spacing w:before="200"/>
      <w:ind/>
      <w:outlineLvl w:val="2"/>
    </w:pPr>
    <w:rPr>
      <w:rFonts w:asciiTheme="majorAscii" w:hAnsiTheme="majorHAnsi"/>
      <w:b w:val="1"/>
      <w:color w:themeColor="accent1" w:val="4F81BD"/>
    </w:rPr>
  </w:style>
  <w:style w:styleId="Style_13_ch" w:type="character">
    <w:name w:val="heading 3"/>
    <w:basedOn w:val="Style_2_ch"/>
    <w:link w:val="Style_13"/>
    <w:rPr>
      <w:rFonts w:asciiTheme="majorAscii" w:hAnsiTheme="majorHAnsi"/>
      <w:b w:val="1"/>
      <w:color w:themeColor="accent1" w:val="4F81BD"/>
    </w:rPr>
  </w:style>
  <w:style w:styleId="Style_14" w:type="paragraph">
    <w:name w:val="Обычный1"/>
    <w:link w:val="Style_14_ch"/>
    <w:pPr>
      <w:widowControl w:val="0"/>
      <w:spacing w:line="300" w:lineRule="auto"/>
      <w:ind w:firstLine="560" w:left="0"/>
    </w:pPr>
    <w:rPr>
      <w:sz w:val="22"/>
    </w:rPr>
  </w:style>
  <w:style w:styleId="Style_14_ch" w:type="character">
    <w:name w:val="Обычный1"/>
    <w:link w:val="Style_14"/>
    <w:rPr>
      <w:sz w:val="22"/>
    </w:rPr>
  </w:style>
  <w:style w:styleId="Style_15" w:type="paragraph">
    <w:name w:val="Знак"/>
    <w:basedOn w:val="Style_2"/>
    <w:link w:val="Style_15_ch"/>
    <w:pPr>
      <w:widowControl w:val="0"/>
      <w:spacing w:after="160" w:line="240" w:lineRule="exact"/>
      <w:ind/>
    </w:pPr>
    <w:rPr>
      <w:sz w:val="24"/>
    </w:rPr>
  </w:style>
  <w:style w:styleId="Style_15_ch" w:type="character">
    <w:name w:val="Знак"/>
    <w:basedOn w:val="Style_2_ch"/>
    <w:link w:val="Style_15"/>
    <w:rPr>
      <w:sz w:val="24"/>
    </w:rPr>
  </w:style>
  <w:style w:styleId="Style_16" w:type="paragraph">
    <w:name w:val="Font Style13"/>
    <w:basedOn w:val="Style_17"/>
    <w:link w:val="Style_16_ch"/>
    <w:rPr>
      <w:rFonts w:ascii="Times New Roman" w:hAnsi="Times New Roman"/>
    </w:rPr>
  </w:style>
  <w:style w:styleId="Style_16_ch" w:type="character">
    <w:name w:val="Font Style13"/>
    <w:basedOn w:val="Style_17_ch"/>
    <w:link w:val="Style_16"/>
    <w:rPr>
      <w:rFonts w:ascii="Times New Roman" w:hAnsi="Times New Roman"/>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17" w:type="paragraph">
    <w:name w:val="Default Paragraph Font"/>
    <w:link w:val="Style_17_ch"/>
  </w:style>
  <w:style w:styleId="Style_17_ch" w:type="character">
    <w:name w:val="Default Paragraph Font"/>
    <w:link w:val="Style_17"/>
  </w:style>
  <w:style w:styleId="Style_18" w:type="paragraph">
    <w:name w:val="Body Text"/>
    <w:basedOn w:val="Style_2"/>
    <w:link w:val="Style_18_ch"/>
    <w:pPr>
      <w:widowControl w:val="0"/>
      <w:ind/>
      <w:jc w:val="both"/>
    </w:pPr>
    <w:rPr>
      <w:sz w:val="24"/>
    </w:rPr>
  </w:style>
  <w:style w:styleId="Style_18_ch" w:type="character">
    <w:name w:val="Body Text"/>
    <w:basedOn w:val="Style_2_ch"/>
    <w:link w:val="Style_18"/>
    <w:rPr>
      <w:sz w:val="24"/>
    </w:rPr>
  </w:style>
  <w:style w:styleId="Style_19" w:type="paragraph">
    <w:name w:val="Body Text 3"/>
    <w:basedOn w:val="Style_2"/>
    <w:link w:val="Style_19_ch"/>
    <w:pPr>
      <w:widowControl w:val="0"/>
      <w:spacing w:line="264" w:lineRule="auto"/>
      <w:ind/>
    </w:pPr>
    <w:rPr>
      <w:sz w:val="28"/>
    </w:rPr>
  </w:style>
  <w:style w:styleId="Style_19_ch" w:type="character">
    <w:name w:val="Body Text 3"/>
    <w:basedOn w:val="Style_2_ch"/>
    <w:link w:val="Style_19"/>
    <w:rPr>
      <w:sz w:val="28"/>
    </w:rPr>
  </w:style>
  <w:style w:styleId="Style_20"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0_ch"/>
    <w:pPr>
      <w:widowControl w:val="0"/>
      <w:spacing w:after="160" w:line="240" w:lineRule="exact"/>
      <w:ind/>
    </w:pPr>
    <w:rPr>
      <w:rFonts w:ascii="Verdana" w:hAnsi="Verdana"/>
    </w:rPr>
  </w:style>
  <w:style w:styleId="Style_20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0"/>
    <w:rPr>
      <w:rFonts w:ascii="Verdana" w:hAnsi="Verdana"/>
    </w:rPr>
  </w:style>
  <w:style w:styleId="Style_21" w:type="paragraph">
    <w:name w:val="toc 3"/>
    <w:next w:val="Style_2"/>
    <w:link w:val="Style_21_ch"/>
    <w:uiPriority w:val="39"/>
    <w:pPr>
      <w:widowControl w:val="0"/>
      <w:ind w:firstLine="0" w:left="400"/>
      <w:jc w:val="left"/>
    </w:pPr>
    <w:rPr>
      <w:rFonts w:ascii="XO Thames" w:hAnsi="XO Thames"/>
      <w:sz w:val="28"/>
    </w:rPr>
  </w:style>
  <w:style w:styleId="Style_21_ch" w:type="character">
    <w:name w:val="toc 3"/>
    <w:link w:val="Style_21"/>
    <w:rPr>
      <w:rFonts w:ascii="XO Thames" w:hAnsi="XO Thames"/>
      <w:sz w:val="28"/>
    </w:rPr>
  </w:style>
  <w:style w:styleId="Style_22" w:type="paragraph">
    <w:name w:val="annotation text"/>
    <w:basedOn w:val="Style_2"/>
    <w:link w:val="Style_22_ch"/>
  </w:style>
  <w:style w:styleId="Style_22_ch" w:type="character">
    <w:name w:val="annotation text"/>
    <w:basedOn w:val="Style_2_ch"/>
    <w:link w:val="Style_22"/>
  </w:style>
  <w:style w:styleId="Style_23" w:type="paragraph">
    <w:name w:val="Body Text Indent 3"/>
    <w:basedOn w:val="Style_2"/>
    <w:link w:val="Style_23_ch"/>
    <w:pPr>
      <w:widowControl w:val="0"/>
      <w:spacing w:after="120"/>
      <w:ind w:firstLine="720" w:left="0"/>
      <w:jc w:val="both"/>
    </w:pPr>
    <w:rPr>
      <w:b w:val="1"/>
      <w:sz w:val="28"/>
    </w:rPr>
  </w:style>
  <w:style w:styleId="Style_23_ch" w:type="character">
    <w:name w:val="Body Text Indent 3"/>
    <w:basedOn w:val="Style_2_ch"/>
    <w:link w:val="Style_23"/>
    <w:rPr>
      <w:b w:val="1"/>
      <w:sz w:val="28"/>
    </w:rPr>
  </w:style>
  <w:style w:styleId="Style_3" w:type="paragraph">
    <w:name w:val="page number"/>
    <w:basedOn w:val="Style_17"/>
    <w:link w:val="Style_3_ch"/>
  </w:style>
  <w:style w:styleId="Style_3_ch" w:type="character">
    <w:name w:val="page number"/>
    <w:basedOn w:val="Style_17_ch"/>
    <w:link w:val="Style_3"/>
  </w:style>
  <w:style w:styleId="Style_24" w:type="paragraph">
    <w:name w:val="heading 5"/>
    <w:next w:val="Style_2"/>
    <w:link w:val="Style_24_ch"/>
    <w:uiPriority w:val="9"/>
    <w:qFormat/>
    <w:pPr>
      <w:widowControl w:val="0"/>
      <w:spacing w:after="120" w:before="120"/>
      <w:ind/>
      <w:jc w:val="both"/>
      <w:outlineLvl w:val="4"/>
    </w:pPr>
    <w:rPr>
      <w:rFonts w:ascii="XO Thames" w:hAnsi="XO Thames"/>
      <w:b w:val="1"/>
      <w:sz w:val="22"/>
    </w:rPr>
  </w:style>
  <w:style w:styleId="Style_24_ch" w:type="character">
    <w:name w:val="heading 5"/>
    <w:link w:val="Style_24"/>
    <w:rPr>
      <w:rFonts w:ascii="XO Thames" w:hAnsi="XO Thames"/>
      <w:b w:val="1"/>
      <w:sz w:val="22"/>
    </w:rPr>
  </w:style>
  <w:style w:styleId="Style_25" w:type="paragraph">
    <w:name w:val="4. Текст"/>
    <w:basedOn w:val="Style_22"/>
    <w:link w:val="Style_25_ch"/>
    <w:pPr>
      <w:keepNext w:val="1"/>
      <w:keepLines w:val="1"/>
      <w:widowControl w:val="0"/>
      <w:ind/>
      <w:jc w:val="both"/>
    </w:pPr>
    <w:rPr>
      <w:color w:val="000000"/>
      <w:spacing w:val="2"/>
      <w:sz w:val="28"/>
    </w:rPr>
  </w:style>
  <w:style w:styleId="Style_25_ch" w:type="character">
    <w:name w:val="4. Текст"/>
    <w:basedOn w:val="Style_22_ch"/>
    <w:link w:val="Style_25"/>
    <w:rPr>
      <w:color w:val="000000"/>
      <w:spacing w:val="2"/>
      <w:sz w:val="28"/>
    </w:rPr>
  </w:style>
  <w:style w:styleId="Style_26" w:type="paragraph">
    <w:name w:val="heading 1"/>
    <w:basedOn w:val="Style_2"/>
    <w:next w:val="Style_2"/>
    <w:link w:val="Style_26_ch"/>
    <w:uiPriority w:val="9"/>
    <w:qFormat/>
    <w:pPr>
      <w:keepNext w:val="1"/>
      <w:widowControl w:val="0"/>
      <w:numPr>
        <w:numId w:val="1"/>
      </w:numPr>
      <w:spacing w:line="264" w:lineRule="auto"/>
      <w:ind/>
      <w:jc w:val="center"/>
      <w:outlineLvl w:val="0"/>
    </w:pPr>
    <w:rPr>
      <w:b w:val="1"/>
      <w:sz w:val="28"/>
    </w:rPr>
  </w:style>
  <w:style w:styleId="Style_26_ch" w:type="character">
    <w:name w:val="heading 1"/>
    <w:basedOn w:val="Style_2_ch"/>
    <w:link w:val="Style_26"/>
    <w:rPr>
      <w:b w:val="1"/>
      <w:sz w:val="28"/>
    </w:rPr>
  </w:style>
  <w:style w:styleId="Style_27" w:type="paragraph">
    <w:name w:val="Balloon Text"/>
    <w:basedOn w:val="Style_2"/>
    <w:link w:val="Style_27_ch"/>
    <w:rPr>
      <w:rFonts w:ascii="Tahoma" w:hAnsi="Tahoma"/>
      <w:sz w:val="16"/>
    </w:rPr>
  </w:style>
  <w:style w:styleId="Style_27_ch" w:type="character">
    <w:name w:val="Balloon Text"/>
    <w:basedOn w:val="Style_2_ch"/>
    <w:link w:val="Style_27"/>
    <w:rPr>
      <w:rFonts w:ascii="Tahoma" w:hAnsi="Tahoma"/>
      <w:sz w:val="16"/>
    </w:rPr>
  </w:style>
  <w:style w:styleId="Style_28" w:type="paragraph">
    <w:name w:val="Знак"/>
    <w:basedOn w:val="Style_2"/>
    <w:link w:val="Style_28_ch"/>
    <w:pPr>
      <w:widowControl w:val="0"/>
      <w:spacing w:after="160" w:line="240" w:lineRule="exact"/>
      <w:ind/>
    </w:pPr>
    <w:rPr>
      <w:sz w:val="24"/>
    </w:rPr>
  </w:style>
  <w:style w:styleId="Style_28_ch" w:type="character">
    <w:name w:val="Знак"/>
    <w:basedOn w:val="Style_2_ch"/>
    <w:link w:val="Style_28"/>
    <w:rPr>
      <w:sz w:val="24"/>
    </w:rPr>
  </w:style>
  <w:style w:styleId="Style_2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9_ch"/>
    <w:pPr>
      <w:widowControl w:val="0"/>
      <w:spacing w:after="160" w:line="240" w:lineRule="exact"/>
      <w:ind/>
    </w:pPr>
    <w:rPr>
      <w:rFonts w:ascii="Verdana" w:hAnsi="Verdana"/>
    </w:rPr>
  </w:style>
  <w:style w:styleId="Style_2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9"/>
    <w:rPr>
      <w:rFonts w:ascii="Verdana" w:hAnsi="Verdana"/>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30" w:type="paragraph">
    <w:name w:val="Footnote"/>
    <w:basedOn w:val="Style_2"/>
    <w:link w:val="Style_30_ch"/>
  </w:style>
  <w:style w:styleId="Style_30_ch" w:type="character">
    <w:name w:val="Footnote"/>
    <w:basedOn w:val="Style_2_ch"/>
    <w:link w:val="Style_30"/>
  </w:style>
  <w:style w:styleId="Style_31" w:type="paragraph">
    <w:name w:val="toc 1"/>
    <w:next w:val="Style_2"/>
    <w:link w:val="Style_31_ch"/>
    <w:uiPriority w:val="39"/>
    <w:pPr>
      <w:widowControl w:val="0"/>
      <w:ind w:firstLine="0" w:left="0"/>
      <w:jc w:val="left"/>
    </w:pPr>
    <w:rPr>
      <w:rFonts w:ascii="XO Thames" w:hAnsi="XO Thames"/>
      <w:b w:val="1"/>
      <w:sz w:val="28"/>
    </w:rPr>
  </w:style>
  <w:style w:styleId="Style_31_ch" w:type="character">
    <w:name w:val="toc 1"/>
    <w:link w:val="Style_31"/>
    <w:rPr>
      <w:rFonts w:ascii="XO Thames" w:hAnsi="XO Thames"/>
      <w:b w:val="1"/>
      <w:sz w:val="28"/>
    </w:rPr>
  </w:style>
  <w:style w:styleId="Style_32" w:type="paragraph">
    <w:name w:val="footnote reference"/>
    <w:link w:val="Style_32_ch"/>
    <w:rPr>
      <w:vertAlign w:val="superscript"/>
    </w:rPr>
  </w:style>
  <w:style w:styleId="Style_32_ch" w:type="character">
    <w:name w:val="footnote reference"/>
    <w:link w:val="Style_32"/>
    <w:rPr>
      <w:vertAlign w:val="superscript"/>
    </w:rPr>
  </w:style>
  <w:style w:styleId="Style_33" w:type="paragraph">
    <w:name w:val="Header and Footer"/>
    <w:link w:val="Style_33_ch"/>
    <w:pPr>
      <w:widowControl w:val="0"/>
      <w:spacing w:line="240" w:lineRule="auto"/>
      <w:ind/>
      <w:jc w:val="both"/>
    </w:pPr>
    <w:rPr>
      <w:rFonts w:ascii="XO Thames" w:hAnsi="XO Thames"/>
      <w:sz w:val="20"/>
    </w:rPr>
  </w:style>
  <w:style w:styleId="Style_33_ch" w:type="character">
    <w:name w:val="Header and Footer"/>
    <w:link w:val="Style_33"/>
    <w:rPr>
      <w:rFonts w:ascii="XO Thames" w:hAnsi="XO Thames"/>
      <w:sz w:val="20"/>
    </w:rPr>
  </w:style>
  <w:style w:styleId="Style_34" w:type="paragraph">
    <w:name w:val="Body Text Indent"/>
    <w:basedOn w:val="Style_2"/>
    <w:link w:val="Style_34_ch"/>
    <w:pPr>
      <w:widowControl w:val="0"/>
      <w:ind w:firstLine="0" w:left="113"/>
    </w:pPr>
    <w:rPr>
      <w:color w:val="000000"/>
      <w:sz w:val="22"/>
    </w:rPr>
  </w:style>
  <w:style w:styleId="Style_34_ch" w:type="character">
    <w:name w:val="Body Text Indent"/>
    <w:basedOn w:val="Style_2_ch"/>
    <w:link w:val="Style_34"/>
    <w:rPr>
      <w:color w:val="000000"/>
      <w:sz w:val="22"/>
    </w:rPr>
  </w:style>
  <w:style w:styleId="Style_35" w:type="paragraph">
    <w:name w:val="toc 9"/>
    <w:next w:val="Style_2"/>
    <w:link w:val="Style_35_ch"/>
    <w:uiPriority w:val="39"/>
    <w:pPr>
      <w:widowControl w:val="0"/>
      <w:ind w:firstLine="0" w:left="1600"/>
      <w:jc w:val="left"/>
    </w:pPr>
    <w:rPr>
      <w:rFonts w:ascii="XO Thames" w:hAnsi="XO Thames"/>
      <w:sz w:val="28"/>
    </w:rPr>
  </w:style>
  <w:style w:styleId="Style_35_ch" w:type="character">
    <w:name w:val="toc 9"/>
    <w:link w:val="Style_35"/>
    <w:rPr>
      <w:rFonts w:ascii="XO Thames" w:hAnsi="XO Thames"/>
      <w:sz w:val="28"/>
    </w:rPr>
  </w:style>
  <w:style w:styleId="Style_36" w:type="paragraph">
    <w:name w:val="ConsPlusNonformat"/>
    <w:link w:val="Style_36_ch"/>
    <w:pPr>
      <w:widowControl w:val="0"/>
      <w:ind/>
    </w:pPr>
    <w:rPr>
      <w:rFonts w:ascii="Courier New" w:hAnsi="Courier New"/>
    </w:rPr>
  </w:style>
  <w:style w:styleId="Style_36_ch" w:type="character">
    <w:name w:val="ConsPlusNonformat"/>
    <w:link w:val="Style_36"/>
    <w:rPr>
      <w:rFonts w:ascii="Courier New" w:hAnsi="Courier New"/>
    </w:rPr>
  </w:style>
  <w:style w:styleId="Style_37" w:type="paragraph">
    <w:name w:val="Body Text Indent 2"/>
    <w:basedOn w:val="Style_2"/>
    <w:link w:val="Style_37_ch"/>
    <w:pPr>
      <w:widowControl w:val="0"/>
      <w:ind w:firstLine="720" w:left="0"/>
      <w:jc w:val="both"/>
    </w:pPr>
    <w:rPr>
      <w:sz w:val="24"/>
    </w:rPr>
  </w:style>
  <w:style w:styleId="Style_37_ch" w:type="character">
    <w:name w:val="Body Text Indent 2"/>
    <w:basedOn w:val="Style_2_ch"/>
    <w:link w:val="Style_37"/>
    <w:rPr>
      <w:sz w:val="24"/>
    </w:rPr>
  </w:style>
  <w:style w:styleId="Style_38" w:type="paragraph">
    <w:name w:val="Знак Знак Знак"/>
    <w:basedOn w:val="Style_2"/>
    <w:link w:val="Style_38_ch"/>
    <w:pPr>
      <w:widowControl w:val="0"/>
      <w:spacing w:after="160" w:line="240" w:lineRule="exact"/>
      <w:ind/>
    </w:pPr>
    <w:rPr>
      <w:sz w:val="24"/>
    </w:rPr>
  </w:style>
  <w:style w:styleId="Style_38_ch" w:type="character">
    <w:name w:val="Знак Знак Знак"/>
    <w:basedOn w:val="Style_2_ch"/>
    <w:link w:val="Style_38"/>
    <w:rPr>
      <w:sz w:val="24"/>
    </w:rPr>
  </w:style>
  <w:style w:styleId="Style_39" w:type="paragraph">
    <w:name w:val="toc 8"/>
    <w:next w:val="Style_2"/>
    <w:link w:val="Style_39_ch"/>
    <w:uiPriority w:val="39"/>
    <w:pPr>
      <w:widowControl w:val="0"/>
      <w:ind w:firstLine="0" w:left="1400"/>
      <w:jc w:val="left"/>
    </w:pPr>
    <w:rPr>
      <w:rFonts w:ascii="XO Thames" w:hAnsi="XO Thames"/>
      <w:sz w:val="28"/>
    </w:rPr>
  </w:style>
  <w:style w:styleId="Style_39_ch" w:type="character">
    <w:name w:val="toc 8"/>
    <w:link w:val="Style_39"/>
    <w:rPr>
      <w:rFonts w:ascii="XO Thames" w:hAnsi="XO Thames"/>
      <w:sz w:val="28"/>
    </w:rPr>
  </w:style>
  <w:style w:styleId="Style_40" w:type="paragraph">
    <w:name w:val="Знак"/>
    <w:basedOn w:val="Style_2"/>
    <w:link w:val="Style_40_ch"/>
    <w:pPr>
      <w:widowControl w:val="0"/>
      <w:spacing w:after="160" w:line="240" w:lineRule="exact"/>
      <w:ind/>
    </w:pPr>
    <w:rPr>
      <w:sz w:val="24"/>
    </w:rPr>
  </w:style>
  <w:style w:styleId="Style_40_ch" w:type="character">
    <w:name w:val="Знак"/>
    <w:basedOn w:val="Style_2_ch"/>
    <w:link w:val="Style_40"/>
    <w:rPr>
      <w:sz w:val="24"/>
    </w:rPr>
  </w:style>
  <w:style w:styleId="Style_41" w:type="paragraph">
    <w:name w:val="toc 5"/>
    <w:next w:val="Style_2"/>
    <w:link w:val="Style_41_ch"/>
    <w:uiPriority w:val="39"/>
    <w:pPr>
      <w:widowControl w:val="0"/>
      <w:ind w:firstLine="0" w:left="800"/>
      <w:jc w:val="left"/>
    </w:pPr>
    <w:rPr>
      <w:rFonts w:ascii="XO Thames" w:hAnsi="XO Thames"/>
      <w:sz w:val="28"/>
    </w:rPr>
  </w:style>
  <w:style w:styleId="Style_41_ch" w:type="character">
    <w:name w:val="toc 5"/>
    <w:link w:val="Style_41"/>
    <w:rPr>
      <w:rFonts w:ascii="XO Thames" w:hAnsi="XO Thames"/>
      <w:sz w:val="28"/>
    </w:rPr>
  </w:style>
  <w:style w:styleId="Style_42" w:type="paragraph">
    <w:basedOn w:val="Style_2"/>
    <w:link w:val="Style_42_ch"/>
    <w:semiHidden w:val="1"/>
    <w:unhideWhenUsed w:val="1"/>
    <w:pPr>
      <w:widowControl w:val="0"/>
      <w:spacing w:after="160" w:line="240" w:lineRule="exact"/>
      <w:ind/>
    </w:pPr>
    <w:rPr>
      <w:sz w:val="24"/>
    </w:rPr>
  </w:style>
  <w:style w:styleId="Style_42_ch" w:type="character">
    <w:basedOn w:val="Style_2_ch"/>
    <w:link w:val="Style_42"/>
    <w:semiHidden w:val="1"/>
    <w:unhideWhenUsed w:val="1"/>
    <w:rPr>
      <w:sz w:val="24"/>
    </w:rPr>
  </w:style>
  <w:style w:styleId="Style_43" w:type="paragraph">
    <w:name w:val="Subtitle"/>
    <w:next w:val="Style_2"/>
    <w:link w:val="Style_43_ch"/>
    <w:uiPriority w:val="11"/>
    <w:qFormat/>
    <w:pPr>
      <w:widowControl w:val="0"/>
      <w:ind/>
      <w:jc w:val="both"/>
    </w:pPr>
    <w:rPr>
      <w:rFonts w:ascii="XO Thames" w:hAnsi="XO Thames"/>
      <w:i w:val="1"/>
      <w:sz w:val="24"/>
    </w:rPr>
  </w:style>
  <w:style w:styleId="Style_43_ch" w:type="character">
    <w:name w:val="Subtitle"/>
    <w:link w:val="Style_43"/>
    <w:rPr>
      <w:rFonts w:ascii="XO Thames" w:hAnsi="XO Thames"/>
      <w:i w:val="1"/>
      <w:sz w:val="24"/>
    </w:rPr>
  </w:style>
  <w:style w:styleId="Style_44" w:type="paragraph">
    <w:name w:val="Знак"/>
    <w:basedOn w:val="Style_2"/>
    <w:link w:val="Style_44_ch"/>
    <w:pPr>
      <w:widowControl w:val="0"/>
      <w:spacing w:after="160" w:line="240" w:lineRule="exact"/>
      <w:ind/>
    </w:pPr>
    <w:rPr>
      <w:sz w:val="24"/>
    </w:rPr>
  </w:style>
  <w:style w:styleId="Style_44_ch" w:type="character">
    <w:name w:val="Знак"/>
    <w:basedOn w:val="Style_2_ch"/>
    <w:link w:val="Style_44"/>
    <w:rPr>
      <w:sz w:val="24"/>
    </w:rPr>
  </w:style>
  <w:style w:styleId="Style_45" w:type="paragraph">
    <w:name w:val="Title"/>
    <w:basedOn w:val="Style_2"/>
    <w:link w:val="Style_45_ch"/>
    <w:uiPriority w:val="10"/>
    <w:qFormat/>
    <w:pPr>
      <w:widowControl w:val="0"/>
      <w:spacing w:line="288" w:lineRule="auto"/>
      <w:ind w:firstLine="4962" w:left="0"/>
      <w:jc w:val="center"/>
    </w:pPr>
    <w:rPr>
      <w:sz w:val="24"/>
    </w:rPr>
  </w:style>
  <w:style w:styleId="Style_45_ch" w:type="character">
    <w:name w:val="Title"/>
    <w:basedOn w:val="Style_2_ch"/>
    <w:link w:val="Style_45"/>
    <w:rPr>
      <w:sz w:val="24"/>
    </w:rPr>
  </w:style>
  <w:style w:styleId="Style_46" w:type="paragraph">
    <w:name w:val="heading 4"/>
    <w:basedOn w:val="Style_2"/>
    <w:next w:val="Style_2"/>
    <w:link w:val="Style_46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6_ch" w:type="character">
    <w:name w:val="heading 4"/>
    <w:basedOn w:val="Style_2_ch"/>
    <w:link w:val="Style_46"/>
    <w:rPr>
      <w:rFonts w:asciiTheme="majorAscii" w:hAnsiTheme="majorHAnsi"/>
      <w:b w:val="1"/>
      <w:i w:val="1"/>
      <w:color w:themeColor="accent1" w:val="4F81BD"/>
    </w:rPr>
  </w:style>
  <w:style w:styleId="Style_47" w:type="paragraph">
    <w:name w:val="heading 2"/>
    <w:basedOn w:val="Style_2"/>
    <w:next w:val="Style_2"/>
    <w:link w:val="Style_47_ch"/>
    <w:uiPriority w:val="9"/>
    <w:qFormat/>
    <w:pPr>
      <w:keepNext w:val="1"/>
      <w:widowControl w:val="0"/>
      <w:numPr>
        <w:numId w:val="2"/>
      </w:numPr>
      <w:spacing w:line="264" w:lineRule="auto"/>
      <w:ind/>
      <w:jc w:val="center"/>
      <w:outlineLvl w:val="1"/>
    </w:pPr>
    <w:rPr>
      <w:b w:val="1"/>
      <w:sz w:val="28"/>
    </w:rPr>
  </w:style>
  <w:style w:styleId="Style_47_ch" w:type="character">
    <w:name w:val="heading 2"/>
    <w:basedOn w:val="Style_2_ch"/>
    <w:link w:val="Style_47"/>
    <w:rPr>
      <w:b w:val="1"/>
      <w:sz w:val="28"/>
    </w:rPr>
  </w:style>
  <w:style w:styleId="Style_48" w:type="paragraph">
    <w:name w:val="Body Text 2"/>
    <w:basedOn w:val="Style_2"/>
    <w:link w:val="Style_48_ch"/>
    <w:pPr>
      <w:widowControl w:val="0"/>
      <w:tabs>
        <w:tab w:leader="none" w:pos="284" w:val="left"/>
      </w:tabs>
      <w:ind w:hanging="284" w:left="284"/>
      <w:jc w:val="both"/>
    </w:pPr>
    <w:rPr>
      <w:sz w:val="24"/>
    </w:rPr>
  </w:style>
  <w:style w:styleId="Style_48_ch" w:type="character">
    <w:name w:val="Body Text 2"/>
    <w:basedOn w:val="Style_2_ch"/>
    <w:link w:val="Style_48"/>
    <w:rPr>
      <w:sz w:val="24"/>
    </w:rPr>
  </w:style>
  <w:style w:styleId="Style_49" w:type="table">
    <w:name w:val="Table Grid"/>
    <w:basedOn w:val="Style_5"/>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2024-12-05T07:41:02Z</dcterms:created>
  <dcterms:modified xsi:type="dcterms:W3CDTF">2026-06-22T02:32:16Z</dcterms:modified>
</cp:coreProperties>
</file>